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8441"/>
      <w:bookmarkStart w:id="2" w:name="_Toc15377425"/>
      <w:bookmarkStart w:id="3" w:name="_Toc15396597"/>
      <w:bookmarkStart w:id="4" w:name="_Toc15377193"/>
      <w:bookmarkStart w:id="5" w:name="_Toc15396475"/>
      <w:r>
        <w:rPr>
          <w:rFonts w:hint="eastAsia" w:ascii="方正小标宋简体" w:hAnsi="方正小标宋简体" w:eastAsia="方正小标宋简体" w:cs="方正小标宋简体"/>
          <w:sz w:val="72"/>
          <w:szCs w:val="72"/>
        </w:rPr>
        <w:t>2021年度</w:t>
      </w:r>
      <w:bookmarkEnd w:id="1"/>
      <w:bookmarkEnd w:id="2"/>
      <w:bookmarkEnd w:id="3"/>
      <w:bookmarkEnd w:id="4"/>
      <w:bookmarkEnd w:id="5"/>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5396476"/>
      <w:bookmarkStart w:id="7" w:name="_Toc15378442"/>
      <w:bookmarkStart w:id="8" w:name="_Toc15377194"/>
      <w:bookmarkStart w:id="9" w:name="_Toc15377426"/>
      <w:bookmarkStart w:id="10" w:name="_Toc15396598"/>
      <w:r>
        <w:rPr>
          <w:rFonts w:hint="eastAsia" w:ascii="方正小标宋简体" w:hAnsi="方正小标宋简体" w:eastAsia="方正小标宋简体" w:cs="方正小标宋简体"/>
          <w:sz w:val="72"/>
          <w:szCs w:val="72"/>
        </w:rPr>
        <w:t>乐山市</w:t>
      </w:r>
      <w:bookmarkEnd w:id="0"/>
      <w:bookmarkStart w:id="11" w:name="_Toc15306268"/>
      <w:r>
        <w:rPr>
          <w:rFonts w:hint="eastAsia" w:ascii="方正小标宋简体" w:hAnsi="方正小标宋简体" w:eastAsia="方正小标宋简体" w:cs="方正小标宋简体"/>
          <w:sz w:val="72"/>
          <w:szCs w:val="72"/>
          <w:lang w:eastAsia="zh-CN"/>
        </w:rPr>
        <w:t>县街</w:t>
      </w:r>
      <w:r>
        <w:rPr>
          <w:rFonts w:hint="eastAsia" w:ascii="方正小标宋简体" w:hAnsi="方正小标宋简体" w:eastAsia="方正小标宋简体" w:cs="方正小标宋简体"/>
          <w:sz w:val="72"/>
          <w:szCs w:val="72"/>
        </w:rPr>
        <w:t>小学</w:t>
      </w:r>
      <w:r>
        <w:rPr>
          <w:rFonts w:hint="eastAsia" w:ascii="方正小标宋简体" w:hAnsi="方正小标宋简体" w:eastAsia="方正小标宋简体" w:cs="方正小标宋简体"/>
          <w:sz w:val="72"/>
          <w:szCs w:val="72"/>
          <w:lang w:eastAsia="zh-CN"/>
        </w:rPr>
        <w:t>单位</w:t>
      </w:r>
      <w:r>
        <w:rPr>
          <w:rFonts w:hint="eastAsia" w:ascii="方正小标宋简体" w:hAnsi="方正小标宋简体" w:eastAsia="方正小标宋简体" w:cs="方正小标宋简体"/>
          <w:sz w:val="72"/>
          <w:szCs w:val="72"/>
        </w:rPr>
        <w:t>决算</w:t>
      </w:r>
      <w:bookmarkEnd w:id="6"/>
      <w:bookmarkEnd w:id="7"/>
      <w:bookmarkEnd w:id="8"/>
      <w:bookmarkEnd w:id="9"/>
      <w:bookmarkEnd w:id="10"/>
      <w:bookmarkEnd w:id="11"/>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0"/>
      </w:pPr>
      <w:r>
        <w:rPr>
          <w:rFonts w:hint="eastAsia"/>
        </w:rPr>
        <w:t>公开时间：2022年10月20日</w:t>
      </w:r>
    </w:p>
    <w:p/>
    <w:p>
      <w:pPr>
        <w:pStyle w:val="10"/>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pPr>
        <w:pStyle w:val="11"/>
        <w:adjustRightInd w:val="0"/>
        <w:snapToGrid w:val="0"/>
        <w:spacing w:line="440" w:lineRule="exact"/>
        <w:jc w:val="left"/>
        <w:rPr>
          <w:sz w:val="24"/>
        </w:rPr>
      </w:pPr>
      <w:r>
        <w:rPr>
          <w:rFonts w:hint="eastAsia"/>
          <w:sz w:val="24"/>
        </w:rPr>
        <w:t xml:space="preserve">一、职能简介 </w:t>
      </w:r>
      <w:r>
        <w:rPr>
          <w:rFonts w:hint="eastAsia" w:ascii="宋体" w:hAnsi="宋体" w:cs="宋体"/>
          <w:sz w:val="24"/>
        </w:rPr>
        <w:t>……………………………………………………………………4</w:t>
      </w:r>
    </w:p>
    <w:p>
      <w:pPr>
        <w:pStyle w:val="11"/>
        <w:adjustRightInd w:val="0"/>
        <w:snapToGrid w:val="0"/>
        <w:spacing w:line="44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二、2021年重点工作完成情况</w:t>
      </w:r>
      <w:r>
        <w:rPr>
          <w:rFonts w:hint="eastAsia" w:ascii="宋体" w:hAnsi="宋体" w:cs="宋体"/>
          <w:sz w:val="24"/>
        </w:rPr>
        <w:t>…………………………………………………4</w:t>
      </w:r>
    </w:p>
    <w:p>
      <w:pPr>
        <w:pStyle w:val="10"/>
        <w:adjustRightInd w:val="0"/>
        <w:snapToGrid w:val="0"/>
        <w:spacing w:before="0" w:line="440" w:lineRule="exact"/>
        <w:jc w:val="left"/>
        <w:rPr>
          <w:sz w:val="24"/>
          <w:szCs w:val="24"/>
        </w:rPr>
      </w:pPr>
      <w:r>
        <w:rPr>
          <w:rFonts w:hint="eastAsia"/>
          <w:sz w:val="24"/>
        </w:rPr>
        <w:t>第二部分 2021年度单位决算情况说明</w:t>
      </w:r>
      <w:r>
        <w:rPr>
          <w:rFonts w:hint="eastAsia" w:ascii="宋体" w:hAnsi="宋体" w:cs="宋体"/>
          <w:sz w:val="24"/>
        </w:rPr>
        <w:t>……………………………………………7</w:t>
      </w:r>
    </w:p>
    <w:p>
      <w:pPr>
        <w:pStyle w:val="11"/>
        <w:adjustRightInd w:val="0"/>
        <w:snapToGrid w:val="0"/>
        <w:spacing w:line="440" w:lineRule="exact"/>
        <w:jc w:val="left"/>
        <w:rPr>
          <w:rFonts w:ascii="仿宋" w:hAnsi="仿宋" w:eastAsia="仿宋" w:cstheme="minorBidi"/>
          <w:sz w:val="24"/>
        </w:rPr>
      </w:pPr>
      <w:r>
        <w:rPr>
          <w:rFonts w:hint="eastAsia"/>
          <w:sz w:val="24"/>
        </w:rPr>
        <w:t>一、收入支出决算总体情况说明</w:t>
      </w:r>
      <w:r>
        <w:rPr>
          <w:rFonts w:hint="eastAsia" w:ascii="宋体" w:hAnsi="宋体" w:cs="宋体"/>
          <w:sz w:val="24"/>
        </w:rPr>
        <w:t>………………………………………………7</w:t>
      </w:r>
    </w:p>
    <w:p>
      <w:pPr>
        <w:pStyle w:val="11"/>
        <w:adjustRightInd w:val="0"/>
        <w:snapToGrid w:val="0"/>
        <w:spacing w:line="440" w:lineRule="exact"/>
        <w:jc w:val="left"/>
        <w:rPr>
          <w:rFonts w:ascii="仿宋" w:hAnsi="仿宋" w:eastAsia="仿宋" w:cstheme="minorBidi"/>
          <w:sz w:val="24"/>
        </w:rPr>
      </w:pPr>
      <w:r>
        <w:rPr>
          <w:rFonts w:hint="eastAsia"/>
          <w:sz w:val="24"/>
        </w:rPr>
        <w:t>二、收入决算情况说明</w:t>
      </w:r>
      <w:r>
        <w:rPr>
          <w:rFonts w:hint="eastAsia" w:ascii="宋体" w:hAnsi="宋体" w:cs="宋体"/>
          <w:sz w:val="24"/>
        </w:rPr>
        <w:t>…………………………………………………………7</w:t>
      </w:r>
    </w:p>
    <w:p>
      <w:pPr>
        <w:pStyle w:val="11"/>
        <w:adjustRightInd w:val="0"/>
        <w:snapToGrid w:val="0"/>
        <w:spacing w:line="440" w:lineRule="exact"/>
        <w:jc w:val="left"/>
        <w:rPr>
          <w:rFonts w:ascii="仿宋" w:hAnsi="仿宋" w:eastAsia="仿宋" w:cstheme="minorBidi"/>
          <w:sz w:val="24"/>
        </w:rPr>
      </w:pPr>
      <w:r>
        <w:rPr>
          <w:rFonts w:hint="eastAsia"/>
          <w:sz w:val="24"/>
        </w:rPr>
        <w:t>三、支出决算情况说明</w:t>
      </w:r>
      <w:r>
        <w:rPr>
          <w:rFonts w:hint="eastAsia" w:ascii="宋体" w:hAnsi="宋体" w:cs="宋体"/>
          <w:sz w:val="24"/>
        </w:rPr>
        <w:t>…………………………………………………………8</w:t>
      </w:r>
    </w:p>
    <w:p>
      <w:pPr>
        <w:pStyle w:val="11"/>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r>
        <w:rPr>
          <w:rFonts w:hint="eastAsia" w:ascii="宋体" w:hAnsi="宋体" w:cs="宋体"/>
          <w:sz w:val="24"/>
        </w:rPr>
        <w:t>……………………………………9</w:t>
      </w:r>
    </w:p>
    <w:p>
      <w:pPr>
        <w:pStyle w:val="11"/>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r>
        <w:rPr>
          <w:rFonts w:hint="eastAsia" w:ascii="宋体" w:hAnsi="宋体" w:cs="宋体"/>
          <w:sz w:val="24"/>
        </w:rPr>
        <w:t>………………………………9</w:t>
      </w:r>
    </w:p>
    <w:p>
      <w:pPr>
        <w:pStyle w:val="11"/>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r>
        <w:rPr>
          <w:rFonts w:hint="eastAsia" w:ascii="宋体" w:hAnsi="宋体" w:cs="宋体"/>
          <w:sz w:val="24"/>
        </w:rPr>
        <w:t>…………………………12</w:t>
      </w:r>
    </w:p>
    <w:p>
      <w:pPr>
        <w:pStyle w:val="11"/>
        <w:adjustRightInd w:val="0"/>
        <w:snapToGrid w:val="0"/>
        <w:spacing w:line="440" w:lineRule="exact"/>
        <w:jc w:val="left"/>
        <w:rPr>
          <w:rFonts w:ascii="仿宋" w:hAnsi="仿宋" w:eastAsia="仿宋" w:cstheme="minorBidi"/>
          <w:sz w:val="24"/>
        </w:rPr>
      </w:pPr>
      <w:r>
        <w:rPr>
          <w:rFonts w:hint="eastAsia"/>
          <w:sz w:val="24"/>
        </w:rPr>
        <w:t xml:space="preserve">七、“三公”经费财政拨款支出决算情况说明 </w:t>
      </w:r>
      <w:r>
        <w:rPr>
          <w:rFonts w:hint="eastAsia" w:ascii="宋体" w:hAnsi="宋体" w:cs="宋体"/>
          <w:sz w:val="24"/>
        </w:rPr>
        <w:t>………………………………13</w:t>
      </w:r>
    </w:p>
    <w:p>
      <w:pPr>
        <w:pStyle w:val="11"/>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r>
        <w:rPr>
          <w:rFonts w:hint="eastAsia" w:ascii="宋体" w:hAnsi="宋体" w:cs="宋体"/>
          <w:sz w:val="24"/>
        </w:rPr>
        <w:t>………………………………………14</w:t>
      </w:r>
    </w:p>
    <w:p>
      <w:pPr>
        <w:pStyle w:val="11"/>
        <w:adjustRightInd w:val="0"/>
        <w:snapToGrid w:val="0"/>
        <w:spacing w:line="440" w:lineRule="exact"/>
        <w:jc w:val="left"/>
        <w:rPr>
          <w:sz w:val="24"/>
        </w:rPr>
      </w:pPr>
      <w:r>
        <w:rPr>
          <w:rFonts w:hint="eastAsia"/>
          <w:sz w:val="24"/>
        </w:rPr>
        <w:t>九、国有资本经营预算支出决算情况说明</w:t>
      </w:r>
      <w:r>
        <w:rPr>
          <w:rFonts w:hint="eastAsia" w:ascii="宋体" w:hAnsi="宋体" w:cs="宋体"/>
          <w:sz w:val="24"/>
        </w:rPr>
        <w:t>……………………………………14</w:t>
      </w:r>
    </w:p>
    <w:p>
      <w:pPr>
        <w:pStyle w:val="11"/>
        <w:adjustRightInd w:val="0"/>
        <w:snapToGrid w:val="0"/>
        <w:spacing w:line="440" w:lineRule="exact"/>
        <w:jc w:val="left"/>
        <w:rPr>
          <w:sz w:val="24"/>
        </w:rPr>
      </w:pPr>
      <w:r>
        <w:rPr>
          <w:rFonts w:hint="eastAsia"/>
          <w:sz w:val="24"/>
        </w:rPr>
        <w:t>十、其他重要事项的情况说明</w:t>
      </w:r>
      <w:r>
        <w:rPr>
          <w:rFonts w:hint="eastAsia" w:ascii="宋体" w:hAnsi="宋体" w:cs="宋体"/>
          <w:sz w:val="24"/>
        </w:rPr>
        <w:t>…………………………………………………14</w:t>
      </w:r>
    </w:p>
    <w:p>
      <w:pPr>
        <w:pStyle w:val="10"/>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 xml:space="preserve">名词解释 </w:t>
      </w:r>
      <w:r>
        <w:rPr>
          <w:rFonts w:hint="eastAsia" w:ascii="宋体" w:hAnsi="宋体" w:cs="宋体"/>
          <w:sz w:val="24"/>
        </w:rPr>
        <w:t>……………………………………………………………… 17</w:t>
      </w:r>
    </w:p>
    <w:p>
      <w:pPr>
        <w:pStyle w:val="10"/>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 xml:space="preserve">附件 </w:t>
      </w:r>
      <w:r>
        <w:rPr>
          <w:rFonts w:hint="eastAsia" w:ascii="宋体" w:hAnsi="宋体" w:cs="宋体"/>
          <w:sz w:val="24"/>
        </w:rPr>
        <w:t>…………………………………………………………………… 20</w:t>
      </w:r>
    </w:p>
    <w:p>
      <w:pPr>
        <w:pStyle w:val="10"/>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 xml:space="preserve">附表 </w:t>
      </w:r>
      <w:r>
        <w:rPr>
          <w:rFonts w:hint="eastAsia" w:ascii="宋体" w:hAnsi="宋体" w:cs="宋体"/>
          <w:sz w:val="24"/>
        </w:rPr>
        <w:t>…………………………………………………………………… 31</w:t>
      </w:r>
    </w:p>
    <w:p>
      <w:pPr>
        <w:pStyle w:val="11"/>
        <w:adjustRightInd w:val="0"/>
        <w:snapToGrid w:val="0"/>
        <w:spacing w:line="440" w:lineRule="exact"/>
        <w:jc w:val="left"/>
        <w:rPr>
          <w:sz w:val="24"/>
        </w:rPr>
      </w:pPr>
      <w:r>
        <w:rPr>
          <w:rFonts w:hint="eastAsia"/>
          <w:sz w:val="24"/>
        </w:rPr>
        <w:t>一、收入支出决算总表</w:t>
      </w:r>
      <w:r>
        <w:rPr>
          <w:rFonts w:hint="eastAsia" w:ascii="宋体" w:hAnsi="宋体" w:cs="宋体"/>
          <w:sz w:val="24"/>
        </w:rPr>
        <w:t>…………………………………………………………31</w:t>
      </w:r>
    </w:p>
    <w:p>
      <w:pPr>
        <w:pStyle w:val="11"/>
        <w:adjustRightInd w:val="0"/>
        <w:snapToGrid w:val="0"/>
        <w:spacing w:line="440" w:lineRule="exact"/>
        <w:jc w:val="left"/>
        <w:rPr>
          <w:sz w:val="24"/>
        </w:rPr>
      </w:pPr>
      <w:r>
        <w:rPr>
          <w:rFonts w:hint="eastAsia"/>
          <w:sz w:val="24"/>
        </w:rPr>
        <w:t>二、收入决算表</w:t>
      </w:r>
      <w:r>
        <w:rPr>
          <w:rFonts w:hint="eastAsia" w:ascii="宋体" w:hAnsi="宋体" w:cs="宋体"/>
          <w:sz w:val="24"/>
        </w:rPr>
        <w:t>…………………………………………………………………33</w:t>
      </w:r>
    </w:p>
    <w:p>
      <w:pPr>
        <w:pStyle w:val="11"/>
        <w:adjustRightInd w:val="0"/>
        <w:snapToGrid w:val="0"/>
        <w:spacing w:line="440" w:lineRule="exact"/>
        <w:jc w:val="left"/>
        <w:rPr>
          <w:sz w:val="24"/>
        </w:rPr>
      </w:pPr>
      <w:r>
        <w:rPr>
          <w:rFonts w:hint="eastAsia"/>
          <w:sz w:val="24"/>
        </w:rPr>
        <w:t>三、支出决算表</w:t>
      </w:r>
      <w:r>
        <w:rPr>
          <w:rFonts w:hint="eastAsia" w:ascii="宋体" w:hAnsi="宋体" w:cs="宋体"/>
          <w:sz w:val="24"/>
        </w:rPr>
        <w:t>…………………………………………………………………34</w:t>
      </w:r>
    </w:p>
    <w:p>
      <w:pPr>
        <w:pStyle w:val="11"/>
        <w:adjustRightInd w:val="0"/>
        <w:snapToGrid w:val="0"/>
        <w:spacing w:line="440" w:lineRule="exact"/>
        <w:jc w:val="left"/>
        <w:rPr>
          <w:sz w:val="24"/>
        </w:rPr>
      </w:pPr>
      <w:r>
        <w:rPr>
          <w:rFonts w:hint="eastAsia"/>
          <w:sz w:val="24"/>
        </w:rPr>
        <w:t>四、财政拨款收入支出决算总表</w:t>
      </w:r>
      <w:r>
        <w:rPr>
          <w:rFonts w:hint="eastAsia" w:ascii="宋体" w:hAnsi="宋体" w:cs="宋体"/>
          <w:sz w:val="24"/>
        </w:rPr>
        <w:t>………………………………………………35</w:t>
      </w:r>
    </w:p>
    <w:p>
      <w:pPr>
        <w:pStyle w:val="11"/>
        <w:adjustRightInd w:val="0"/>
        <w:snapToGrid w:val="0"/>
        <w:spacing w:line="440" w:lineRule="exact"/>
        <w:jc w:val="left"/>
        <w:rPr>
          <w:sz w:val="24"/>
        </w:rPr>
      </w:pPr>
      <w:r>
        <w:rPr>
          <w:rFonts w:hint="eastAsia"/>
          <w:sz w:val="24"/>
        </w:rPr>
        <w:t>五、财政拨款支出决算明细表</w:t>
      </w:r>
      <w:r>
        <w:rPr>
          <w:rFonts w:hint="eastAsia" w:ascii="宋体" w:hAnsi="宋体" w:cs="宋体"/>
          <w:sz w:val="24"/>
        </w:rPr>
        <w:t>…………………………………………………36</w:t>
      </w:r>
    </w:p>
    <w:p>
      <w:pPr>
        <w:pStyle w:val="11"/>
        <w:adjustRightInd w:val="0"/>
        <w:snapToGrid w:val="0"/>
        <w:spacing w:line="440" w:lineRule="exact"/>
        <w:jc w:val="left"/>
        <w:rPr>
          <w:sz w:val="24"/>
        </w:rPr>
      </w:pPr>
      <w:r>
        <w:rPr>
          <w:rFonts w:hint="eastAsia"/>
          <w:sz w:val="24"/>
        </w:rPr>
        <w:t>六、一般公共预算财政拨款支出决算表</w:t>
      </w:r>
      <w:r>
        <w:rPr>
          <w:rFonts w:hint="eastAsia" w:ascii="宋体" w:hAnsi="宋体" w:cs="宋体"/>
          <w:sz w:val="24"/>
        </w:rPr>
        <w:t>………………………………………37</w:t>
      </w:r>
    </w:p>
    <w:p>
      <w:pPr>
        <w:pStyle w:val="11"/>
        <w:adjustRightInd w:val="0"/>
        <w:snapToGrid w:val="0"/>
        <w:spacing w:line="440" w:lineRule="exact"/>
        <w:jc w:val="left"/>
        <w:rPr>
          <w:sz w:val="24"/>
        </w:rPr>
      </w:pPr>
      <w:r>
        <w:rPr>
          <w:rFonts w:hint="eastAsia"/>
          <w:sz w:val="24"/>
        </w:rPr>
        <w:t>七、一般公共预算财政拨款支出决算明细表</w:t>
      </w:r>
      <w:r>
        <w:rPr>
          <w:rFonts w:hint="eastAsia" w:ascii="宋体" w:hAnsi="宋体" w:cs="宋体"/>
          <w:sz w:val="24"/>
        </w:rPr>
        <w:t>…………………………………37</w:t>
      </w:r>
    </w:p>
    <w:p>
      <w:pPr>
        <w:pStyle w:val="11"/>
        <w:adjustRightInd w:val="0"/>
        <w:snapToGrid w:val="0"/>
        <w:spacing w:line="440" w:lineRule="exact"/>
        <w:jc w:val="left"/>
        <w:rPr>
          <w:sz w:val="24"/>
        </w:rPr>
      </w:pPr>
      <w:r>
        <w:rPr>
          <w:rFonts w:hint="eastAsia"/>
          <w:sz w:val="24"/>
        </w:rPr>
        <w:t>八、一般公共预算财政拨款基本支出决算表</w:t>
      </w:r>
      <w:r>
        <w:rPr>
          <w:rFonts w:hint="eastAsia" w:ascii="宋体" w:hAnsi="宋体" w:cs="宋体"/>
          <w:sz w:val="24"/>
        </w:rPr>
        <w:t>…………………………………39</w:t>
      </w:r>
    </w:p>
    <w:p>
      <w:pPr>
        <w:pStyle w:val="11"/>
        <w:adjustRightInd w:val="0"/>
        <w:snapToGrid w:val="0"/>
        <w:spacing w:line="440" w:lineRule="exact"/>
        <w:jc w:val="left"/>
        <w:rPr>
          <w:sz w:val="24"/>
        </w:rPr>
      </w:pPr>
      <w:r>
        <w:rPr>
          <w:rFonts w:hint="eastAsia"/>
          <w:sz w:val="24"/>
        </w:rPr>
        <w:t>九、一般公共预算财政拨款项目支出决算表</w:t>
      </w:r>
      <w:r>
        <w:rPr>
          <w:rFonts w:hint="eastAsia" w:ascii="宋体" w:hAnsi="宋体" w:cs="宋体"/>
          <w:sz w:val="24"/>
        </w:rPr>
        <w:t>…………………………………39</w:t>
      </w:r>
    </w:p>
    <w:p>
      <w:pPr>
        <w:pStyle w:val="11"/>
        <w:adjustRightInd w:val="0"/>
        <w:snapToGrid w:val="0"/>
        <w:spacing w:line="440" w:lineRule="exact"/>
        <w:jc w:val="left"/>
        <w:rPr>
          <w:sz w:val="24"/>
        </w:rPr>
      </w:pPr>
      <w:r>
        <w:rPr>
          <w:rFonts w:hint="eastAsia"/>
          <w:sz w:val="24"/>
        </w:rPr>
        <w:t>十、一般公共预算财政拨款“三公”经费支出决算表</w:t>
      </w:r>
      <w:r>
        <w:rPr>
          <w:rFonts w:hint="eastAsia" w:ascii="宋体" w:hAnsi="宋体" w:cs="宋体"/>
          <w:sz w:val="24"/>
        </w:rPr>
        <w:t>………………………40</w:t>
      </w:r>
    </w:p>
    <w:p>
      <w:pPr>
        <w:pStyle w:val="11"/>
        <w:adjustRightInd w:val="0"/>
        <w:snapToGrid w:val="0"/>
        <w:spacing w:line="440" w:lineRule="exact"/>
        <w:jc w:val="left"/>
        <w:rPr>
          <w:sz w:val="24"/>
        </w:rPr>
      </w:pPr>
      <w:r>
        <w:rPr>
          <w:rFonts w:hint="eastAsia"/>
          <w:sz w:val="24"/>
        </w:rPr>
        <w:t>十一、政府性基金预算财政拨款收入支出决算表</w:t>
      </w:r>
      <w:r>
        <w:rPr>
          <w:rFonts w:hint="eastAsia" w:ascii="宋体" w:hAnsi="宋体" w:cs="宋体"/>
          <w:sz w:val="24"/>
        </w:rPr>
        <w:t>……………………………40</w:t>
      </w:r>
    </w:p>
    <w:p>
      <w:pPr>
        <w:pStyle w:val="11"/>
        <w:adjustRightInd w:val="0"/>
        <w:snapToGrid w:val="0"/>
        <w:spacing w:line="440" w:lineRule="exact"/>
        <w:jc w:val="left"/>
        <w:rPr>
          <w:sz w:val="24"/>
        </w:rPr>
      </w:pPr>
      <w:r>
        <w:rPr>
          <w:rFonts w:hint="eastAsia"/>
          <w:sz w:val="24"/>
        </w:rPr>
        <w:t>十二、政府性基金预算财政拨款“三公”经费支出决算表</w:t>
      </w:r>
      <w:r>
        <w:rPr>
          <w:rFonts w:hint="eastAsia" w:ascii="宋体" w:hAnsi="宋体" w:cs="宋体"/>
          <w:sz w:val="24"/>
        </w:rPr>
        <w:t>…………………40</w:t>
      </w:r>
    </w:p>
    <w:p>
      <w:pPr>
        <w:pStyle w:val="11"/>
        <w:adjustRightInd w:val="0"/>
        <w:snapToGrid w:val="0"/>
        <w:spacing w:line="440" w:lineRule="exact"/>
        <w:jc w:val="left"/>
        <w:rPr>
          <w:sz w:val="24"/>
        </w:rPr>
      </w:pPr>
      <w:r>
        <w:rPr>
          <w:rFonts w:hint="eastAsia"/>
          <w:sz w:val="24"/>
        </w:rPr>
        <w:t>十三、国有资本经营预算财政拨款收入支出决算表</w:t>
      </w:r>
      <w:r>
        <w:rPr>
          <w:rFonts w:hint="eastAsia" w:ascii="宋体" w:hAnsi="宋体" w:cs="宋体"/>
          <w:sz w:val="24"/>
        </w:rPr>
        <w:t>…………………………41</w:t>
      </w:r>
    </w:p>
    <w:p>
      <w:pPr>
        <w:pStyle w:val="11"/>
        <w:adjustRightInd w:val="0"/>
        <w:snapToGrid w:val="0"/>
        <w:spacing w:line="440" w:lineRule="exact"/>
        <w:jc w:val="left"/>
        <w:rPr>
          <w:sz w:val="24"/>
        </w:rPr>
      </w:pPr>
      <w:r>
        <w:rPr>
          <w:rFonts w:hint="eastAsia"/>
          <w:sz w:val="24"/>
        </w:rPr>
        <w:t>十四、国有资本经营预算财政拨款支出决算表</w:t>
      </w:r>
      <w:r>
        <w:rPr>
          <w:rFonts w:hint="eastAsia" w:ascii="宋体" w:hAnsi="宋体" w:cs="宋体"/>
          <w:sz w:val="24"/>
        </w:rPr>
        <w:t>………………………………41</w:t>
      </w:r>
    </w:p>
    <w:p>
      <w:pPr>
        <w:widowControl/>
        <w:spacing w:line="440" w:lineRule="exact"/>
        <w:jc w:val="left"/>
        <w:rPr>
          <w:rFonts w:ascii="仿宋" w:hAnsi="仿宋" w:eastAsia="仿宋"/>
          <w:bCs/>
          <w:kern w:val="44"/>
          <w:sz w:val="24"/>
        </w:rPr>
      </w:pPr>
      <w:bookmarkStart w:id="12" w:name="_Toc15377196"/>
      <w:bookmarkStart w:id="13" w:name="_Toc15396599"/>
      <w:r>
        <w:rPr>
          <w:rFonts w:ascii="仿宋" w:hAnsi="仿宋" w:eastAsia="仿宋"/>
          <w:b/>
          <w:sz w:val="24"/>
        </w:rPr>
        <w:br w:type="page"/>
      </w:r>
    </w:p>
    <w:p>
      <w:pPr>
        <w:pStyle w:val="3"/>
        <w:jc w:val="center"/>
        <w:rPr>
          <w:rStyle w:val="25"/>
          <w:rFonts w:ascii="仿宋" w:hAnsi="仿宋" w:eastAsia="仿宋"/>
          <w:b w:val="0"/>
          <w:bCs w:val="0"/>
        </w:rPr>
      </w:pPr>
      <w:r>
        <w:rPr>
          <w:rFonts w:hint="eastAsia" w:ascii="仿宋" w:hAnsi="仿宋" w:eastAsia="仿宋"/>
        </w:rPr>
        <w:t>第一部分 单位</w:t>
      </w:r>
      <w:r>
        <w:rPr>
          <w:rStyle w:val="25"/>
          <w:rFonts w:hint="eastAsia" w:ascii="仿宋" w:hAnsi="仿宋" w:eastAsia="仿宋"/>
          <w:b/>
          <w:bCs w:val="0"/>
        </w:rPr>
        <w:t>概况</w:t>
      </w:r>
      <w:bookmarkEnd w:id="12"/>
      <w:bookmarkEnd w:id="13"/>
    </w:p>
    <w:p>
      <w:pPr>
        <w:rPr>
          <w:rFonts w:ascii="仿宋" w:hAnsi="仿宋" w:eastAsia="仿宋"/>
        </w:rPr>
      </w:pPr>
    </w:p>
    <w:p>
      <w:pPr>
        <w:pStyle w:val="4"/>
        <w:rPr>
          <w:rStyle w:val="26"/>
          <w:rFonts w:ascii="仿宋" w:hAnsi="仿宋" w:eastAsia="仿宋"/>
          <w:b/>
          <w:bCs w:val="0"/>
        </w:rPr>
      </w:pPr>
      <w:bookmarkStart w:id="14" w:name="_Toc15377197"/>
      <w:bookmarkStart w:id="15" w:name="_Toc15396600"/>
      <w:r>
        <w:rPr>
          <w:rStyle w:val="26"/>
          <w:rFonts w:hint="eastAsia" w:ascii="仿宋" w:hAnsi="仿宋" w:eastAsia="仿宋"/>
          <w:b/>
          <w:bCs w:val="0"/>
        </w:rPr>
        <w:t>一、基本职能及主要工作</w:t>
      </w:r>
    </w:p>
    <w:p>
      <w:pPr>
        <w:spacing w:line="400" w:lineRule="exact"/>
        <w:ind w:firstLine="600" w:firstLineChars="200"/>
        <w:rPr>
          <w:rFonts w:ascii="仿宋_GB2312" w:eastAsia="仿宋_GB2312"/>
          <w:sz w:val="30"/>
          <w:szCs w:val="30"/>
        </w:rPr>
      </w:pPr>
      <w:r>
        <w:rPr>
          <w:rFonts w:hint="eastAsia" w:ascii="仿宋_GB2312" w:eastAsia="仿宋_GB2312"/>
          <w:sz w:val="30"/>
          <w:szCs w:val="30"/>
        </w:rPr>
        <w:t>乐山市</w:t>
      </w:r>
      <w:r>
        <w:rPr>
          <w:rFonts w:hint="eastAsia" w:ascii="仿宋_GB2312" w:eastAsia="仿宋_GB2312"/>
          <w:sz w:val="30"/>
          <w:szCs w:val="30"/>
          <w:lang w:eastAsia="zh-CN"/>
        </w:rPr>
        <w:t>县街</w:t>
      </w:r>
      <w:r>
        <w:rPr>
          <w:rFonts w:hint="eastAsia" w:ascii="仿宋_GB2312" w:eastAsia="仿宋_GB2312"/>
          <w:sz w:val="30"/>
          <w:szCs w:val="30"/>
        </w:rPr>
        <w:t>小学是隶属于乐山市市中区教育局的一级预决算单位。其主要职责及办学宗旨：全面贯彻执行党和国家教育方针政策和法律法规，拟定小学教育事业发展规划，实施小学义务教育，促进基础教育发展，为小学义务教育提供保教育服务保障。坚持以习近平新时代中国特色社会主义思想为指导，认真贯彻党和国家的教育方针，围绕“教育改革创新”发展主题、“教育强园”发展目标；坚持“五育并举”，构建了全员育人、全程育人、全方位育人的“三全育人</w:t>
      </w:r>
      <w:r>
        <w:rPr>
          <w:rFonts w:ascii="仿宋_GB2312" w:eastAsia="仿宋_GB2312"/>
          <w:sz w:val="30"/>
          <w:szCs w:val="30"/>
        </w:rPr>
        <w:t>”</w:t>
      </w:r>
      <w:r>
        <w:rPr>
          <w:rFonts w:hint="eastAsia" w:ascii="仿宋_GB2312" w:eastAsia="仿宋_GB2312"/>
          <w:sz w:val="30"/>
          <w:szCs w:val="30"/>
        </w:rPr>
        <w:t>模式，发挥课程、课堂、管理、文化、环境的育人发展的过程中，秉承着深厚的文化底蕴，优秀的管理经验，做到与时俱进、继往开来。</w:t>
      </w:r>
    </w:p>
    <w:p>
      <w:pPr>
        <w:pStyle w:val="4"/>
        <w:spacing w:line="400" w:lineRule="exact"/>
        <w:rPr>
          <w:rFonts w:ascii="仿宋" w:hAnsi="仿宋" w:eastAsia="仿宋"/>
        </w:rPr>
      </w:pPr>
      <w:r>
        <w:rPr>
          <w:rFonts w:hint="eastAsia" w:ascii="仿宋" w:hAnsi="仿宋" w:eastAsia="仿宋"/>
        </w:rPr>
        <w:t>二、2021年重点工作</w:t>
      </w:r>
      <w:bookmarkEnd w:id="14"/>
      <w:bookmarkEnd w:id="15"/>
      <w:r>
        <w:rPr>
          <w:rFonts w:hint="eastAsia" w:ascii="仿宋" w:hAnsi="仿宋" w:eastAsia="仿宋"/>
        </w:rPr>
        <w:t>完成情况</w:t>
      </w:r>
    </w:p>
    <w:p>
      <w:pPr>
        <w:spacing w:line="400" w:lineRule="exact"/>
        <w:ind w:firstLine="643" w:firstLineChars="200"/>
        <w:rPr>
          <w:rFonts w:ascii="仿宋_GB2312" w:eastAsia="仿宋_GB2312"/>
          <w:sz w:val="30"/>
          <w:szCs w:val="30"/>
        </w:rPr>
      </w:pPr>
      <w:r>
        <w:rPr>
          <w:rFonts w:hint="eastAsia" w:ascii="仿宋" w:hAnsi="仿宋" w:eastAsia="仿宋"/>
          <w:b/>
          <w:sz w:val="32"/>
          <w:szCs w:val="32"/>
        </w:rPr>
        <w:t xml:space="preserve">   </w:t>
      </w:r>
      <w:r>
        <w:rPr>
          <w:rFonts w:hint="eastAsia" w:ascii="仿宋_GB2312" w:eastAsia="仿宋_GB2312"/>
          <w:sz w:val="30"/>
          <w:szCs w:val="30"/>
        </w:rPr>
        <w:t>2021年乐山市</w:t>
      </w:r>
      <w:r>
        <w:rPr>
          <w:rFonts w:hint="eastAsia" w:ascii="仿宋_GB2312" w:eastAsia="仿宋_GB2312"/>
          <w:sz w:val="30"/>
          <w:szCs w:val="30"/>
          <w:lang w:eastAsia="zh-CN"/>
        </w:rPr>
        <w:t>县街</w:t>
      </w:r>
      <w:r>
        <w:rPr>
          <w:rFonts w:hint="eastAsia" w:ascii="仿宋_GB2312" w:eastAsia="仿宋_GB2312"/>
          <w:sz w:val="30"/>
          <w:szCs w:val="30"/>
        </w:rPr>
        <w:t>小学全体教职工以坚定的政治思想，高瞻的发展定位，昂扬的工作士气与顽强的奉献精神，统一思想，明确目标，创新发展路径，扩大发展格局，打造优质教育教学品牌，办人民满意的教育，办与区位优势和城市美誉度相匹配的教育，实现了高质量发展。</w:t>
      </w:r>
    </w:p>
    <w:p>
      <w:pPr>
        <w:spacing w:line="400" w:lineRule="exact"/>
        <w:ind w:firstLine="600" w:firstLineChars="200"/>
        <w:rPr>
          <w:rFonts w:ascii="仿宋_GB2312" w:eastAsia="仿宋_GB2312"/>
          <w:sz w:val="30"/>
          <w:szCs w:val="30"/>
        </w:rPr>
      </w:pPr>
      <w:r>
        <w:rPr>
          <w:rFonts w:hint="eastAsia" w:ascii="仿宋_GB2312" w:eastAsia="仿宋_GB2312"/>
          <w:sz w:val="30"/>
          <w:szCs w:val="30"/>
        </w:rPr>
        <w:t>（1）夯实党建基础，突出基层组织功能</w:t>
      </w:r>
    </w:p>
    <w:p>
      <w:pPr>
        <w:spacing w:line="400" w:lineRule="exact"/>
        <w:ind w:firstLine="600" w:firstLineChars="200"/>
        <w:rPr>
          <w:rFonts w:ascii="仿宋_GB2312" w:eastAsia="仿宋_GB2312"/>
          <w:sz w:val="30"/>
          <w:szCs w:val="30"/>
        </w:rPr>
      </w:pPr>
      <w:r>
        <w:rPr>
          <w:rFonts w:hint="eastAsia" w:ascii="仿宋_GB2312" w:eastAsia="仿宋_GB2312"/>
          <w:sz w:val="30"/>
          <w:szCs w:val="30"/>
        </w:rPr>
        <w:t>把准重点明确方向，团结带领全体教职员工坚持以习近平新时代中国特色社会主义思想为引领，牢固树立“四个意识”，不断坚定“四个自信”，自觉践行“两个维护”，始终把“旗帜鲜明讲政治”作为思想政治建设工作的“生命线”，在引导全体教职员工重温初心、感悟初心、淬炼初心、践行初心上狠下功夫，把思想政治建设作为自身建设的核心和灵魂抓紧抓实，并贯穿于各项工作之中。开展以“学习新时代职业行为十项准则，争做四有好老师”为主题的师德师风建设活动，塑造新时代教师良好形象，完善师德考核细则。</w:t>
      </w:r>
    </w:p>
    <w:p>
      <w:pPr>
        <w:spacing w:line="400" w:lineRule="exact"/>
        <w:ind w:firstLine="600" w:firstLineChars="200"/>
        <w:rPr>
          <w:rFonts w:ascii="仿宋_GB2312" w:eastAsia="仿宋_GB2312"/>
          <w:sz w:val="30"/>
          <w:szCs w:val="30"/>
        </w:rPr>
      </w:pPr>
      <w:r>
        <w:rPr>
          <w:rFonts w:hint="eastAsia" w:ascii="仿宋_GB2312" w:eastAsia="仿宋_GB2312"/>
          <w:sz w:val="30"/>
          <w:szCs w:val="30"/>
        </w:rPr>
        <w:t>加强制度建设，加大储备人才培养，完善优秀教育梯级人才的“选、培、管、用”。切实凝聚强大共识致力于培养六个团队，即忠诚、担当、作为的党员团队，人文、高效、创新的管理团队，挚爱、公平、专业的教师团队，细致、耐心、周全的后勤团队，自信、愉悦、友爱的学生团队，热情、自知、好学的家长团队。</w:t>
      </w:r>
    </w:p>
    <w:p>
      <w:pPr>
        <w:spacing w:line="400" w:lineRule="exact"/>
        <w:ind w:firstLine="600" w:firstLineChars="200"/>
        <w:rPr>
          <w:rFonts w:ascii="仿宋_GB2312" w:eastAsia="仿宋_GB2312"/>
          <w:sz w:val="30"/>
          <w:szCs w:val="30"/>
        </w:rPr>
      </w:pPr>
      <w:r>
        <w:rPr>
          <w:rFonts w:hint="eastAsia" w:ascii="仿宋_GB2312" w:eastAsia="仿宋_GB2312"/>
          <w:sz w:val="30"/>
          <w:szCs w:val="30"/>
        </w:rPr>
        <w:t>（2）激发内驱动力，大力提升教育教学水平</w:t>
      </w:r>
    </w:p>
    <w:p>
      <w:pPr>
        <w:spacing w:line="400" w:lineRule="exact"/>
        <w:ind w:firstLine="600" w:firstLineChars="200"/>
        <w:rPr>
          <w:rFonts w:ascii="仿宋_GB2312" w:eastAsia="仿宋_GB2312"/>
          <w:sz w:val="30"/>
          <w:szCs w:val="30"/>
        </w:rPr>
      </w:pPr>
      <w:r>
        <w:rPr>
          <w:rFonts w:hint="eastAsia" w:ascii="仿宋_GB2312" w:eastAsia="仿宋_GB2312"/>
          <w:sz w:val="30"/>
          <w:szCs w:val="30"/>
        </w:rPr>
        <w:t>坚持优质均衡、锻造队伍、全面提升教师队伍素质，坚持内涵发展、全面提升教育教学质量，坚持管理提效、全面增强教育发展活力。遵循孩子生命发展规律，规范小学教育工作，课程改革重实效，教育教学过程重童趣，课程体系重整合，教研过程重体验，生活活动重路径。</w:t>
      </w:r>
    </w:p>
    <w:p>
      <w:pPr>
        <w:spacing w:line="400" w:lineRule="exact"/>
        <w:ind w:firstLine="600" w:firstLineChars="200"/>
        <w:rPr>
          <w:rFonts w:ascii="仿宋_GB2312" w:eastAsia="仿宋_GB2312"/>
          <w:sz w:val="30"/>
          <w:szCs w:val="30"/>
        </w:rPr>
      </w:pPr>
      <w:r>
        <w:rPr>
          <w:rFonts w:hint="eastAsia" w:ascii="仿宋_GB2312" w:eastAsia="仿宋_GB2312"/>
          <w:sz w:val="30"/>
          <w:szCs w:val="30"/>
        </w:rPr>
        <w:t>以落实立德树人为根本任务，进一步建立健全“教研、科研、师训、监测”四位一体的工作机制，加快建设新型教科研步伐，推动教育新发展。</w:t>
      </w:r>
    </w:p>
    <w:p>
      <w:pPr>
        <w:spacing w:line="400" w:lineRule="exact"/>
        <w:ind w:firstLine="600" w:firstLineChars="200"/>
        <w:rPr>
          <w:rFonts w:ascii="仿宋_GB2312" w:eastAsia="仿宋_GB2312"/>
          <w:sz w:val="30"/>
          <w:szCs w:val="30"/>
        </w:rPr>
      </w:pPr>
      <w:r>
        <w:rPr>
          <w:rFonts w:hint="eastAsia" w:ascii="仿宋_GB2312" w:eastAsia="仿宋_GB2312"/>
          <w:sz w:val="30"/>
          <w:szCs w:val="30"/>
        </w:rPr>
        <w:t>将本校教研与市区级专题教研有效结合，重点关注教学中的互动、评价等问题，关注学生阅读品质的培养，着力于经验的梳理、提炼与检验，挖掘特色，让小学有优可扬，助推教学质量。</w:t>
      </w:r>
    </w:p>
    <w:p>
      <w:pPr>
        <w:spacing w:line="400" w:lineRule="exact"/>
        <w:ind w:firstLine="600" w:firstLineChars="200"/>
        <w:rPr>
          <w:rFonts w:ascii="仿宋_GB2312" w:eastAsia="仿宋_GB2312"/>
          <w:sz w:val="30"/>
          <w:szCs w:val="30"/>
        </w:rPr>
      </w:pPr>
      <w:r>
        <w:rPr>
          <w:rFonts w:hint="eastAsia" w:ascii="仿宋_GB2312" w:eastAsia="仿宋_GB2312"/>
          <w:sz w:val="30"/>
          <w:szCs w:val="30"/>
        </w:rPr>
        <w:t>丰富艺术体育活动的开展，保证每天不少于1小时的户外活动时间。开展丰富多样的活动和节日活动等，创造机会为学生提供展示的舞台。</w:t>
      </w:r>
    </w:p>
    <w:p>
      <w:pPr>
        <w:spacing w:line="400" w:lineRule="exact"/>
        <w:ind w:firstLine="600" w:firstLineChars="200"/>
        <w:rPr>
          <w:rFonts w:ascii="仿宋_GB2312" w:eastAsia="仿宋_GB2312"/>
          <w:sz w:val="30"/>
          <w:szCs w:val="30"/>
        </w:rPr>
      </w:pPr>
      <w:r>
        <w:rPr>
          <w:rFonts w:hint="eastAsia" w:ascii="仿宋_GB2312" w:eastAsia="仿宋_GB2312"/>
          <w:sz w:val="30"/>
          <w:szCs w:val="30"/>
        </w:rPr>
        <w:t>(3)加强安全管理，保证校园安全稳定</w:t>
      </w:r>
    </w:p>
    <w:p>
      <w:pPr>
        <w:spacing w:line="400" w:lineRule="exact"/>
        <w:ind w:firstLine="600" w:firstLineChars="200"/>
        <w:rPr>
          <w:rFonts w:ascii="仿宋_GB2312" w:eastAsia="仿宋_GB2312"/>
          <w:sz w:val="30"/>
          <w:szCs w:val="30"/>
        </w:rPr>
      </w:pPr>
      <w:r>
        <w:rPr>
          <w:rFonts w:hint="eastAsia" w:ascii="仿宋_GB2312" w:eastAsia="仿宋_GB2312"/>
          <w:sz w:val="30"/>
          <w:szCs w:val="30"/>
        </w:rPr>
        <w:t>健全规章制度，坚持“党政同责、一岗双责”、“管业务必须管安全”的原则，强化红线意识狠抓安全责任落实，夯实防护基础， “三防”建设，完善长效机制，狠抓安全制度落地，不断提升应急能力和防范意识，同时加大监督力度，狠抓考核问责。抓好管理规范，深化平安校园建设，创新校园安全管理，严格执行安全工作自查制度，形成纵横交错的安全网络，将安全隐患排除在萌芽阶段。与每位教职员工签订安全工作责任书，全年校园未发生任何安全事故。</w:t>
      </w:r>
    </w:p>
    <w:p>
      <w:pPr>
        <w:spacing w:line="400" w:lineRule="exact"/>
        <w:ind w:firstLine="600" w:firstLineChars="200"/>
        <w:rPr>
          <w:rFonts w:ascii="仿宋_GB2312" w:eastAsia="仿宋_GB2312"/>
          <w:sz w:val="30"/>
          <w:szCs w:val="30"/>
        </w:rPr>
      </w:pPr>
      <w:r>
        <w:rPr>
          <w:rFonts w:hint="eastAsia" w:ascii="仿宋_GB2312" w:eastAsia="仿宋_GB2312"/>
          <w:sz w:val="30"/>
          <w:szCs w:val="30"/>
        </w:rPr>
        <w:t>加强安全教育，牢固树立安全意识。结合教育教学活动各环节，对学生进行卫生安全教育并开展相关的活动，使学生掌握一些自我保护的技能。积极开展法律进学校活动和依法治校示范校的创建，深化“法律进学校”工作，将法治教育融入课程体系。关注未成年人思想道德建设，带动教职工、家长、学生自觉树立法治观念，增强法治意识，营造学法、知法、守法、用法、护法的良好氛围。</w:t>
      </w:r>
    </w:p>
    <w:p>
      <w:pPr>
        <w:spacing w:line="400" w:lineRule="exact"/>
        <w:ind w:firstLine="600" w:firstLineChars="200"/>
        <w:rPr>
          <w:rFonts w:ascii="仿宋_GB2312" w:eastAsia="仿宋_GB2312"/>
          <w:sz w:val="30"/>
          <w:szCs w:val="30"/>
        </w:rPr>
      </w:pPr>
      <w:r>
        <w:rPr>
          <w:rFonts w:hint="eastAsia" w:ascii="仿宋_GB2312" w:eastAsia="仿宋_GB2312"/>
          <w:sz w:val="30"/>
          <w:szCs w:val="30"/>
        </w:rPr>
        <w:t>开展多边联动，共促家校和谐，加强警民和家校携手，筑造严密“安全防火墙”。同时加强与社区、公安、关工委等部门的联动，开展学生园、家庭、社区教育整合建设，共建育人平台。</w:t>
      </w:r>
    </w:p>
    <w:p>
      <w:pPr>
        <w:spacing w:line="400" w:lineRule="exact"/>
        <w:ind w:firstLine="600" w:firstLineChars="200"/>
        <w:rPr>
          <w:rFonts w:ascii="仿宋_GB2312" w:eastAsia="仿宋_GB2312"/>
          <w:sz w:val="30"/>
          <w:szCs w:val="30"/>
        </w:rPr>
      </w:pPr>
      <w:r>
        <w:rPr>
          <w:rFonts w:hint="eastAsia" w:ascii="仿宋_GB2312" w:eastAsia="仿宋_GB2312"/>
          <w:sz w:val="30"/>
          <w:szCs w:val="30"/>
        </w:rPr>
        <w:t>规范经费细节，严格财务管理制度。按照上级要求，严格把关，制度健全，账目清楚，档案完善，无任何违纪违规现象。严格按照公示收费，无违反规定收费，按实收取，期末结算，学生缺餐退费及时，家长非常满意。组织实施好实行社会保障卡“一卡通”监管平台集中发放工作，做好“建档立学生”教育资助告知制度，确保所有贫困家庭子女应助尽助。廉政建设常抓不懈，继续实施“三重一大”事项决策机制，推进学校务公开建设，扎实开展“廉洁文化进校园”等党风廉政教育活动，构建了敬廉崇洁、廉洁从教的校园环境和清风正气润心田的良好氛围。</w:t>
      </w:r>
    </w:p>
    <w:p>
      <w:pPr>
        <w:spacing w:line="400" w:lineRule="exact"/>
        <w:ind w:firstLine="643" w:firstLineChars="200"/>
        <w:rPr>
          <w:rFonts w:hint="eastAsia" w:ascii="仿宋" w:hAnsi="仿宋" w:eastAsia="仿宋"/>
          <w:b/>
          <w:sz w:val="32"/>
          <w:szCs w:val="32"/>
          <w:lang w:eastAsia="zh-CN"/>
        </w:rPr>
      </w:pPr>
      <w:r>
        <w:rPr>
          <w:rFonts w:hint="eastAsia" w:ascii="仿宋" w:hAnsi="仿宋" w:eastAsia="仿宋"/>
          <w:b/>
          <w:sz w:val="32"/>
          <w:szCs w:val="32"/>
        </w:rPr>
        <w:t>二、机构设</w:t>
      </w:r>
      <w:r>
        <w:rPr>
          <w:rFonts w:hint="eastAsia" w:ascii="仿宋" w:hAnsi="仿宋" w:eastAsia="仿宋"/>
          <w:b/>
          <w:sz w:val="32"/>
          <w:szCs w:val="32"/>
          <w:lang w:eastAsia="zh-CN"/>
        </w:rPr>
        <w:t>置</w:t>
      </w:r>
    </w:p>
    <w:p>
      <w:pPr>
        <w:spacing w:line="400" w:lineRule="exact"/>
        <w:rPr>
          <w:rFonts w:ascii="仿宋_GB2312" w:eastAsia="仿宋_GB2312"/>
          <w:sz w:val="30"/>
          <w:szCs w:val="30"/>
        </w:rPr>
      </w:pPr>
      <w:r>
        <w:rPr>
          <w:rFonts w:hint="eastAsia" w:ascii="仿宋_GB2312" w:eastAsia="仿宋_GB2312"/>
          <w:sz w:val="30"/>
          <w:szCs w:val="30"/>
        </w:rPr>
        <w:t xml:space="preserve">    乐山市</w:t>
      </w:r>
      <w:r>
        <w:rPr>
          <w:rFonts w:hint="eastAsia" w:ascii="仿宋_GB2312" w:eastAsia="仿宋_GB2312"/>
          <w:sz w:val="30"/>
          <w:szCs w:val="30"/>
          <w:lang w:eastAsia="zh-CN"/>
        </w:rPr>
        <w:t>县街</w:t>
      </w:r>
      <w:r>
        <w:rPr>
          <w:rFonts w:hint="eastAsia" w:ascii="仿宋_GB2312" w:eastAsia="仿宋_GB2312"/>
          <w:sz w:val="30"/>
          <w:szCs w:val="30"/>
        </w:rPr>
        <w:t>小学隶属于乐山市市中区教育局的一级预决算单位，财政补助的事业类独立编制机构数</w:t>
      </w:r>
      <w:r>
        <w:rPr>
          <w:rFonts w:hint="eastAsia" w:ascii="仿宋_GB2312" w:eastAsia="仿宋_GB2312"/>
          <w:sz w:val="30"/>
          <w:szCs w:val="30"/>
          <w:lang w:eastAsia="zh-CN"/>
        </w:rPr>
        <w:t>1</w:t>
      </w:r>
      <w:r>
        <w:rPr>
          <w:rFonts w:hint="eastAsia" w:ascii="仿宋_GB2312" w:eastAsia="仿宋_GB2312"/>
          <w:sz w:val="30"/>
          <w:szCs w:val="30"/>
        </w:rPr>
        <w:t>个,独立核算单位1个。</w:t>
      </w:r>
    </w:p>
    <w:p>
      <w:pPr>
        <w:spacing w:line="400" w:lineRule="exact"/>
        <w:rPr>
          <w:rFonts w:ascii="仿宋_GB2312" w:eastAsia="仿宋_GB2312"/>
          <w:sz w:val="30"/>
          <w:szCs w:val="30"/>
        </w:rPr>
      </w:pPr>
      <w:r>
        <w:rPr>
          <w:rFonts w:hint="eastAsia" w:ascii="仿宋_GB2312" w:eastAsia="仿宋_GB2312"/>
          <w:sz w:val="30"/>
          <w:szCs w:val="30"/>
        </w:rPr>
        <w:t xml:space="preserve">    乐山市</w:t>
      </w:r>
      <w:r>
        <w:rPr>
          <w:rFonts w:hint="eastAsia" w:ascii="仿宋_GB2312" w:eastAsia="仿宋_GB2312"/>
          <w:sz w:val="30"/>
          <w:szCs w:val="30"/>
          <w:lang w:eastAsia="zh-CN"/>
        </w:rPr>
        <w:t>县街</w:t>
      </w:r>
      <w:r>
        <w:rPr>
          <w:rFonts w:hint="eastAsia" w:ascii="仿宋_GB2312" w:eastAsia="仿宋_GB2312"/>
          <w:sz w:val="30"/>
          <w:szCs w:val="30"/>
        </w:rPr>
        <w:t>小学设校长办公室、党</w:t>
      </w:r>
      <w:r>
        <w:rPr>
          <w:rFonts w:hint="eastAsia" w:ascii="仿宋_GB2312" w:eastAsia="仿宋_GB2312"/>
          <w:sz w:val="30"/>
          <w:szCs w:val="30"/>
          <w:lang w:eastAsia="zh-CN"/>
        </w:rPr>
        <w:t>总支</w:t>
      </w:r>
      <w:r>
        <w:rPr>
          <w:rFonts w:hint="eastAsia" w:ascii="仿宋_GB2312" w:eastAsia="仿宋_GB2312"/>
          <w:sz w:val="30"/>
          <w:szCs w:val="30"/>
        </w:rPr>
        <w:t>、</w:t>
      </w:r>
      <w:r>
        <w:rPr>
          <w:rFonts w:hint="eastAsia" w:ascii="仿宋_GB2312" w:eastAsia="仿宋_GB2312"/>
          <w:sz w:val="30"/>
          <w:szCs w:val="30"/>
          <w:lang w:eastAsia="zh-CN"/>
        </w:rPr>
        <w:t>学校办公室、</w:t>
      </w:r>
      <w:r>
        <w:rPr>
          <w:rFonts w:hint="eastAsia" w:ascii="仿宋_GB2312" w:eastAsia="仿宋_GB2312"/>
          <w:sz w:val="30"/>
          <w:szCs w:val="30"/>
        </w:rPr>
        <w:t>教导处、总务处、</w:t>
      </w:r>
      <w:r>
        <w:rPr>
          <w:rFonts w:hint="eastAsia" w:ascii="仿宋_GB2312" w:eastAsia="仿宋_GB2312"/>
          <w:sz w:val="30"/>
          <w:szCs w:val="30"/>
          <w:lang w:eastAsia="zh-CN"/>
        </w:rPr>
        <w:t>教科室、</w:t>
      </w:r>
      <w:r>
        <w:rPr>
          <w:rFonts w:hint="eastAsia" w:ascii="仿宋_GB2312" w:eastAsia="仿宋_GB2312"/>
          <w:sz w:val="30"/>
          <w:szCs w:val="30"/>
        </w:rPr>
        <w:t>心理咨询室、语文办公室、数学办公室、体育办公室、伙食团、门卫室等机构及</w:t>
      </w:r>
      <w:r>
        <w:rPr>
          <w:rFonts w:hint="eastAsia" w:ascii="仿宋_GB2312" w:eastAsia="仿宋_GB2312"/>
          <w:sz w:val="30"/>
          <w:szCs w:val="30"/>
          <w:lang w:eastAsia="zh-CN"/>
        </w:rPr>
        <w:t>50</w:t>
      </w:r>
      <w:r>
        <w:rPr>
          <w:rFonts w:hint="eastAsia" w:ascii="仿宋_GB2312" w:eastAsia="仿宋_GB2312"/>
          <w:sz w:val="30"/>
          <w:szCs w:val="30"/>
        </w:rPr>
        <w:t>个教学班级。</w:t>
      </w:r>
    </w:p>
    <w:p>
      <w:pPr>
        <w:spacing w:line="400" w:lineRule="exact"/>
      </w:pPr>
      <w:r>
        <w:rPr>
          <w:rFonts w:hint="eastAsia" w:ascii="仿宋_GB2312" w:eastAsia="仿宋_GB2312"/>
          <w:sz w:val="30"/>
          <w:szCs w:val="30"/>
        </w:rPr>
        <w:t xml:space="preserve">    2021年底乐山市</w:t>
      </w:r>
      <w:r>
        <w:rPr>
          <w:rFonts w:hint="eastAsia" w:ascii="仿宋_GB2312" w:eastAsia="仿宋_GB2312"/>
          <w:sz w:val="30"/>
          <w:szCs w:val="30"/>
          <w:lang w:eastAsia="zh-CN"/>
        </w:rPr>
        <w:t>县街</w:t>
      </w:r>
      <w:r>
        <w:rPr>
          <w:rFonts w:hint="eastAsia" w:ascii="仿宋_GB2312" w:eastAsia="仿宋_GB2312"/>
          <w:sz w:val="30"/>
          <w:szCs w:val="30"/>
        </w:rPr>
        <w:t>小学在编教职工小学</w:t>
      </w:r>
      <w:r>
        <w:rPr>
          <w:rFonts w:hint="eastAsia" w:ascii="仿宋_GB2312" w:eastAsia="仿宋_GB2312"/>
          <w:sz w:val="30"/>
          <w:szCs w:val="30"/>
          <w:lang w:val="en-US" w:eastAsia="zh-CN"/>
        </w:rPr>
        <w:t>109</w:t>
      </w:r>
      <w:r>
        <w:rPr>
          <w:rFonts w:hint="eastAsia" w:ascii="仿宋_GB2312" w:eastAsia="仿宋_GB2312"/>
          <w:sz w:val="30"/>
          <w:szCs w:val="30"/>
        </w:rPr>
        <w:t>人，其中2021年</w:t>
      </w:r>
      <w:r>
        <w:rPr>
          <w:rFonts w:hint="eastAsia" w:ascii="仿宋_GB2312" w:eastAsia="仿宋_GB2312"/>
          <w:sz w:val="30"/>
          <w:szCs w:val="30"/>
          <w:lang w:eastAsia="zh-CN"/>
        </w:rPr>
        <w:t>公招</w:t>
      </w:r>
      <w:r>
        <w:rPr>
          <w:rFonts w:hint="eastAsia" w:ascii="仿宋_GB2312" w:eastAsia="仿宋_GB2312"/>
          <w:sz w:val="30"/>
          <w:szCs w:val="30"/>
          <w:lang w:val="en-US" w:eastAsia="zh-CN"/>
        </w:rPr>
        <w:t>1人</w:t>
      </w:r>
      <w:r>
        <w:rPr>
          <w:rFonts w:hint="eastAsia" w:ascii="仿宋_GB2312" w:eastAsia="仿宋_GB2312"/>
          <w:sz w:val="30"/>
          <w:szCs w:val="30"/>
        </w:rPr>
        <w:t>，退休</w:t>
      </w:r>
      <w:r>
        <w:rPr>
          <w:rFonts w:hint="eastAsia" w:ascii="仿宋_GB2312" w:eastAsia="仿宋_GB2312"/>
          <w:sz w:val="30"/>
          <w:szCs w:val="30"/>
          <w:lang w:val="en-US" w:eastAsia="zh-CN"/>
        </w:rPr>
        <w:t>6</w:t>
      </w:r>
      <w:r>
        <w:rPr>
          <w:rFonts w:hint="eastAsia" w:ascii="仿宋_GB2312" w:eastAsia="仿宋_GB2312"/>
          <w:sz w:val="30"/>
          <w:szCs w:val="30"/>
        </w:rPr>
        <w:t xml:space="preserve">人。 </w:t>
      </w:r>
    </w:p>
    <w:p>
      <w:pPr>
        <w:rPr>
          <w:rFonts w:ascii="仿宋" w:hAnsi="仿宋" w:eastAsia="仿宋"/>
          <w:b/>
          <w:sz w:val="28"/>
          <w:szCs w:val="28"/>
        </w:rPr>
      </w:pPr>
    </w:p>
    <w:p>
      <w:pPr>
        <w:widowControl/>
        <w:jc w:val="left"/>
        <w:rPr>
          <w:rFonts w:ascii="仿宋" w:hAnsi="仿宋" w:eastAsia="仿宋"/>
          <w:kern w:val="0"/>
          <w:sz w:val="28"/>
          <w:szCs w:val="28"/>
        </w:rPr>
      </w:pPr>
      <w:r>
        <w:rPr>
          <w:rFonts w:ascii="仿宋" w:hAnsi="仿宋" w:eastAsia="仿宋"/>
          <w:sz w:val="28"/>
          <w:szCs w:val="28"/>
        </w:rPr>
        <w:br w:type="page"/>
      </w:r>
    </w:p>
    <w:p>
      <w:pPr>
        <w:pStyle w:val="3"/>
        <w:ind w:right="440"/>
        <w:jc w:val="center"/>
        <w:rPr>
          <w:rStyle w:val="25"/>
          <w:rFonts w:ascii="仿宋" w:hAnsi="仿宋" w:eastAsia="仿宋"/>
          <w:b/>
          <w:bCs/>
        </w:rPr>
      </w:pPr>
      <w:bookmarkStart w:id="16" w:name="_Toc15377204"/>
      <w:bookmarkStart w:id="17" w:name="_Toc15396602"/>
      <w:r>
        <w:rPr>
          <w:rFonts w:hint="eastAsia" w:ascii="仿宋" w:hAnsi="仿宋" w:eastAsia="仿宋"/>
        </w:rPr>
        <w:t>第二部分 2021年度</w:t>
      </w:r>
      <w:r>
        <w:rPr>
          <w:rStyle w:val="25"/>
          <w:rFonts w:hint="eastAsia" w:ascii="仿宋" w:hAnsi="仿宋" w:eastAsia="仿宋"/>
          <w:b/>
          <w:bCs/>
        </w:rPr>
        <w:t>单位决算情况说明</w:t>
      </w:r>
      <w:bookmarkEnd w:id="16"/>
      <w:bookmarkEnd w:id="17"/>
    </w:p>
    <w:p>
      <w:pPr>
        <w:rPr>
          <w:rFonts w:ascii="仿宋" w:hAnsi="仿宋" w:eastAsia="仿宋"/>
        </w:rPr>
      </w:pPr>
    </w:p>
    <w:p>
      <w:pPr>
        <w:pStyle w:val="24"/>
        <w:numPr>
          <w:ilvl w:val="0"/>
          <w:numId w:val="1"/>
        </w:numPr>
        <w:spacing w:line="600" w:lineRule="exact"/>
        <w:ind w:firstLineChars="0"/>
        <w:outlineLvl w:val="1"/>
        <w:rPr>
          <w:rStyle w:val="26"/>
          <w:rFonts w:ascii="仿宋" w:hAnsi="仿宋" w:eastAsia="仿宋"/>
        </w:rPr>
      </w:pPr>
      <w:bookmarkStart w:id="18" w:name="_Toc15377205"/>
      <w:bookmarkStart w:id="19" w:name="_Toc15396603"/>
      <w:r>
        <w:rPr>
          <w:rFonts w:hint="eastAsia" w:ascii="仿宋" w:hAnsi="仿宋" w:eastAsia="仿宋"/>
          <w:b/>
          <w:sz w:val="32"/>
          <w:szCs w:val="32"/>
        </w:rPr>
        <w:t>收</w:t>
      </w:r>
      <w:r>
        <w:rPr>
          <w:rStyle w:val="26"/>
          <w:rFonts w:hint="eastAsia" w:ascii="仿宋" w:hAnsi="仿宋" w:eastAsia="仿宋"/>
        </w:rPr>
        <w:t>入支出决算总体情况说明</w:t>
      </w:r>
      <w:bookmarkEnd w:id="18"/>
      <w:bookmarkEnd w:id="19"/>
    </w:p>
    <w:p>
      <w:pPr>
        <w:spacing w:line="600" w:lineRule="exact"/>
        <w:ind w:firstLine="640" w:firstLineChars="200"/>
        <w:rPr>
          <w:rFonts w:ascii="仿宋" w:hAnsi="仿宋" w:eastAsia="仿宋"/>
          <w:sz w:val="32"/>
          <w:szCs w:val="32"/>
        </w:rPr>
      </w:pPr>
      <w:r>
        <w:rPr>
          <w:rFonts w:hint="eastAsia" w:ascii="仿宋" w:hAnsi="仿宋" w:eastAsia="仿宋"/>
          <w:sz w:val="32"/>
          <w:szCs w:val="32"/>
        </w:rPr>
        <w:t>2021年度收、支总计</w:t>
      </w:r>
      <w:r>
        <w:rPr>
          <w:rFonts w:hint="eastAsia" w:ascii="仿宋" w:hAnsi="仿宋" w:eastAsia="仿宋"/>
          <w:sz w:val="32"/>
          <w:szCs w:val="32"/>
          <w:lang w:val="en-US" w:eastAsia="zh-CN"/>
        </w:rPr>
        <w:t>2306.44</w:t>
      </w:r>
      <w:r>
        <w:rPr>
          <w:rFonts w:hint="eastAsia" w:ascii="仿宋" w:hAnsi="仿宋" w:eastAsia="仿宋"/>
          <w:sz w:val="32"/>
          <w:szCs w:val="32"/>
        </w:rPr>
        <w:t>万元。与2020年相比，收、支总计各</w:t>
      </w:r>
      <w:r>
        <w:rPr>
          <w:rFonts w:hint="eastAsia" w:ascii="仿宋" w:hAnsi="仿宋" w:eastAsia="仿宋"/>
          <w:sz w:val="32"/>
          <w:szCs w:val="32"/>
          <w:lang w:eastAsia="zh-CN"/>
        </w:rPr>
        <w:t>减少</w:t>
      </w:r>
      <w:r>
        <w:rPr>
          <w:rFonts w:hint="eastAsia" w:ascii="仿宋" w:hAnsi="仿宋" w:eastAsia="仿宋"/>
          <w:sz w:val="32"/>
          <w:szCs w:val="32"/>
          <w:lang w:val="en-US" w:eastAsia="zh-CN"/>
        </w:rPr>
        <w:t>100.51</w:t>
      </w:r>
      <w:r>
        <w:rPr>
          <w:rFonts w:hint="eastAsia" w:ascii="仿宋" w:hAnsi="仿宋" w:eastAsia="仿宋"/>
          <w:sz w:val="32"/>
          <w:szCs w:val="32"/>
        </w:rPr>
        <w:t>万元，</w:t>
      </w:r>
      <w:r>
        <w:rPr>
          <w:rFonts w:hint="eastAsia" w:ascii="仿宋" w:hAnsi="仿宋" w:eastAsia="仿宋"/>
          <w:sz w:val="32"/>
          <w:szCs w:val="32"/>
          <w:lang w:eastAsia="zh-CN"/>
        </w:rPr>
        <w:t>减少</w:t>
      </w:r>
      <w:r>
        <w:rPr>
          <w:rFonts w:hint="eastAsia" w:ascii="仿宋" w:hAnsi="仿宋" w:eastAsia="仿宋"/>
          <w:sz w:val="32"/>
          <w:szCs w:val="32"/>
          <w:lang w:val="en-US" w:eastAsia="zh-CN"/>
        </w:rPr>
        <w:t>4.18</w:t>
      </w:r>
      <w:r>
        <w:rPr>
          <w:rFonts w:ascii="仿宋" w:hAnsi="仿宋" w:eastAsia="仿宋"/>
          <w:sz w:val="32"/>
          <w:szCs w:val="32"/>
        </w:rPr>
        <w:t>%</w:t>
      </w:r>
      <w:r>
        <w:rPr>
          <w:rFonts w:hint="eastAsia" w:ascii="仿宋" w:hAnsi="仿宋" w:eastAsia="仿宋"/>
          <w:sz w:val="32"/>
          <w:szCs w:val="32"/>
        </w:rPr>
        <w:t>。主要变动原因是：2021年项目</w:t>
      </w:r>
      <w:r>
        <w:rPr>
          <w:rFonts w:hint="eastAsia" w:ascii="仿宋" w:hAnsi="仿宋" w:eastAsia="仿宋"/>
          <w:sz w:val="32"/>
          <w:szCs w:val="32"/>
          <w:lang w:eastAsia="zh-CN"/>
        </w:rPr>
        <w:t>减少</w:t>
      </w:r>
      <w:r>
        <w:rPr>
          <w:rFonts w:hint="eastAsia" w:ascii="仿宋" w:hAnsi="仿宋" w:eastAsia="仿宋"/>
          <w:sz w:val="32"/>
          <w:szCs w:val="32"/>
        </w:rPr>
        <w:t>，本年收入</w:t>
      </w:r>
      <w:r>
        <w:rPr>
          <w:rFonts w:hint="eastAsia" w:ascii="仿宋" w:hAnsi="仿宋" w:eastAsia="仿宋"/>
          <w:sz w:val="32"/>
          <w:szCs w:val="32"/>
          <w:lang w:eastAsia="zh-CN"/>
        </w:rPr>
        <w:t>减少</w:t>
      </w:r>
      <w:r>
        <w:rPr>
          <w:rFonts w:hint="eastAsia" w:ascii="仿宋" w:hAnsi="仿宋" w:eastAsia="仿宋"/>
          <w:sz w:val="32"/>
          <w:szCs w:val="32"/>
        </w:rPr>
        <w:t>。</w:t>
      </w:r>
    </w:p>
    <w:p>
      <w:pPr>
        <w:pStyle w:val="2"/>
        <w:spacing w:before="93"/>
      </w:pPr>
      <w:r>
        <w:drawing>
          <wp:inline distT="0" distB="0" distL="114300" distR="114300">
            <wp:extent cx="5271135" cy="3213100"/>
            <wp:effectExtent l="38735" t="18415" r="43180" b="64135"/>
            <wp:docPr id="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 xml:space="preserve">     （图</w:t>
      </w:r>
      <w:r>
        <w:rPr>
          <w:rFonts w:ascii="仿宋" w:hAnsi="仿宋" w:eastAsia="仿宋"/>
          <w:sz w:val="32"/>
          <w:szCs w:val="32"/>
        </w:rPr>
        <w:t>1</w:t>
      </w:r>
      <w:r>
        <w:rPr>
          <w:rFonts w:hint="eastAsia" w:ascii="仿宋" w:hAnsi="仿宋" w:eastAsia="仿宋"/>
          <w:sz w:val="32"/>
          <w:szCs w:val="32"/>
        </w:rPr>
        <w:t>：收、支决算总计变动情况图）</w:t>
      </w:r>
    </w:p>
    <w:p>
      <w:pPr>
        <w:pStyle w:val="24"/>
        <w:numPr>
          <w:ilvl w:val="0"/>
          <w:numId w:val="1"/>
        </w:numPr>
        <w:spacing w:line="600" w:lineRule="exact"/>
        <w:ind w:firstLineChars="0"/>
        <w:outlineLvl w:val="1"/>
        <w:rPr>
          <w:rStyle w:val="26"/>
          <w:rFonts w:ascii="黑体" w:hAnsi="黑体" w:eastAsia="黑体"/>
          <w:b w:val="0"/>
        </w:rPr>
      </w:pPr>
      <w:bookmarkStart w:id="20" w:name="_Toc15377206"/>
      <w:bookmarkStart w:id="21" w:name="_Toc15396604"/>
      <w:r>
        <w:rPr>
          <w:rFonts w:hint="eastAsia" w:ascii="黑体" w:hAnsi="黑体" w:eastAsia="黑体"/>
          <w:sz w:val="32"/>
          <w:szCs w:val="32"/>
        </w:rPr>
        <w:t>收</w:t>
      </w:r>
      <w:r>
        <w:rPr>
          <w:rStyle w:val="26"/>
          <w:rFonts w:hint="eastAsia" w:ascii="黑体" w:hAnsi="黑体" w:eastAsia="黑体"/>
          <w:b w:val="0"/>
        </w:rPr>
        <w:t>入决算情况说明</w:t>
      </w:r>
      <w:bookmarkEnd w:id="20"/>
      <w:bookmarkEnd w:id="21"/>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21年本年收入合计</w:t>
      </w:r>
      <w:r>
        <w:rPr>
          <w:rFonts w:hint="eastAsia" w:ascii="仿宋" w:hAnsi="仿宋" w:eastAsia="仿宋"/>
          <w:sz w:val="32"/>
          <w:szCs w:val="32"/>
          <w:lang w:val="en-US" w:eastAsia="zh-CN"/>
        </w:rPr>
        <w:t>2231.27</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2231.27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，政府性基金预算财政拨款</w:t>
      </w:r>
      <w:r>
        <w:rPr>
          <w:rFonts w:hint="eastAsia" w:ascii="仿宋" w:hAnsi="仿宋" w:eastAsia="仿宋"/>
          <w:sz w:val="32"/>
          <w:szCs w:val="32"/>
          <w:lang w:val="en-US" w:eastAsia="zh-CN"/>
        </w:rPr>
        <w:t>0</w:t>
      </w:r>
      <w:r>
        <w:rPr>
          <w:rFonts w:hint="eastAsia" w:ascii="仿宋" w:hAnsi="仿宋" w:eastAsia="仿宋"/>
          <w:sz w:val="32"/>
          <w:szCs w:val="32"/>
        </w:rPr>
        <w:t>万元，占0.0</w:t>
      </w:r>
      <w:r>
        <w:rPr>
          <w:rFonts w:ascii="仿宋" w:hAnsi="仿宋" w:eastAsia="仿宋"/>
          <w:sz w:val="32"/>
          <w:szCs w:val="32"/>
        </w:rPr>
        <w:t>%</w:t>
      </w:r>
      <w:r>
        <w:rPr>
          <w:rFonts w:hint="eastAsia" w:ascii="仿宋" w:hAnsi="仿宋" w:eastAsia="仿宋"/>
          <w:sz w:val="32"/>
          <w:szCs w:val="32"/>
        </w:rPr>
        <w:t>。</w:t>
      </w:r>
    </w:p>
    <w:p>
      <w:pPr>
        <w:pStyle w:val="2"/>
        <w:spacing w:before="93"/>
      </w:pPr>
      <w:r>
        <w:drawing>
          <wp:inline distT="0" distB="0" distL="114300" distR="114300">
            <wp:extent cx="5272405" cy="3302635"/>
            <wp:effectExtent l="38735" t="18415" r="41910" b="6985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 xml:space="preserve">         （图2：收入决算结构图）</w:t>
      </w:r>
    </w:p>
    <w:p>
      <w:pPr>
        <w:pStyle w:val="24"/>
        <w:numPr>
          <w:ilvl w:val="0"/>
          <w:numId w:val="1"/>
        </w:numPr>
        <w:spacing w:line="600" w:lineRule="exact"/>
        <w:ind w:firstLineChars="0"/>
        <w:outlineLvl w:val="1"/>
        <w:rPr>
          <w:rStyle w:val="26"/>
          <w:rFonts w:ascii="黑体" w:hAnsi="黑体" w:eastAsia="黑体"/>
          <w:b w:val="0"/>
        </w:rPr>
      </w:pPr>
      <w:bookmarkStart w:id="22" w:name="_Toc15377207"/>
      <w:bookmarkStart w:id="23" w:name="_Toc15396605"/>
      <w:r>
        <w:rPr>
          <w:rFonts w:hint="eastAsia" w:ascii="黑体" w:hAnsi="黑体" w:eastAsia="黑体"/>
          <w:sz w:val="32"/>
          <w:szCs w:val="32"/>
        </w:rPr>
        <w:t>支</w:t>
      </w:r>
      <w:r>
        <w:rPr>
          <w:rStyle w:val="26"/>
          <w:rFonts w:hint="eastAsia" w:ascii="黑体" w:hAnsi="黑体" w:eastAsia="黑体"/>
          <w:b w:val="0"/>
        </w:rPr>
        <w:t>出决算情况说明</w:t>
      </w:r>
      <w:bookmarkEnd w:id="22"/>
      <w:bookmarkEnd w:id="23"/>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21年本年支出合计</w:t>
      </w:r>
      <w:r>
        <w:rPr>
          <w:rFonts w:hint="eastAsia" w:ascii="仿宋" w:hAnsi="仿宋" w:eastAsia="仿宋"/>
          <w:sz w:val="32"/>
          <w:szCs w:val="32"/>
          <w:lang w:val="en-US" w:eastAsia="zh-CN"/>
        </w:rPr>
        <w:t>2306.44</w:t>
      </w:r>
      <w:r>
        <w:rPr>
          <w:rFonts w:hint="eastAsia" w:ascii="仿宋" w:hAnsi="仿宋" w:eastAsia="仿宋"/>
          <w:sz w:val="32"/>
          <w:szCs w:val="32"/>
        </w:rPr>
        <w:t>万元，其中：基本支</w:t>
      </w:r>
      <w:r>
        <w:rPr>
          <w:rFonts w:hint="eastAsia" w:ascii="仿宋" w:hAnsi="仿宋" w:eastAsia="仿宋"/>
          <w:sz w:val="32"/>
          <w:szCs w:val="32"/>
          <w:lang w:val="en-US" w:eastAsia="zh-CN"/>
        </w:rPr>
        <w:t>2113.99</w:t>
      </w:r>
      <w:r>
        <w:rPr>
          <w:rFonts w:hint="eastAsia" w:ascii="仿宋" w:hAnsi="仿宋" w:eastAsia="仿宋"/>
          <w:sz w:val="32"/>
          <w:szCs w:val="32"/>
        </w:rPr>
        <w:t>万元，占</w:t>
      </w:r>
      <w:r>
        <w:rPr>
          <w:rFonts w:hint="eastAsia" w:ascii="仿宋" w:hAnsi="仿宋" w:eastAsia="仿宋"/>
          <w:sz w:val="32"/>
          <w:szCs w:val="32"/>
          <w:lang w:val="en-US" w:eastAsia="zh-CN"/>
        </w:rPr>
        <w:t>91.66</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192.45</w:t>
      </w:r>
      <w:r>
        <w:rPr>
          <w:rFonts w:hint="eastAsia" w:ascii="仿宋" w:hAnsi="仿宋" w:eastAsia="仿宋"/>
          <w:sz w:val="32"/>
          <w:szCs w:val="32"/>
        </w:rPr>
        <w:t>万元，</w:t>
      </w:r>
      <w:r>
        <w:rPr>
          <w:rFonts w:hint="eastAsia" w:ascii="仿宋" w:hAnsi="仿宋" w:eastAsia="仿宋"/>
          <w:sz w:val="32"/>
          <w:szCs w:val="32"/>
          <w:lang w:val="en-US" w:eastAsia="zh-CN"/>
        </w:rPr>
        <w:t>8.34</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 xml:space="preserve"> </w:t>
      </w:r>
    </w:p>
    <w:p>
      <w:pPr>
        <w:pStyle w:val="2"/>
        <w:spacing w:before="93"/>
      </w:pPr>
      <w:r>
        <w:drawing>
          <wp:inline distT="0" distB="0" distL="114300" distR="114300">
            <wp:extent cx="5272405" cy="3176270"/>
            <wp:effectExtent l="38735" t="18415" r="41910" b="6286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rPr>
          <w:rFonts w:ascii="仿宋_GB2312" w:eastAsia="仿宋_GB2312"/>
          <w:sz w:val="32"/>
          <w:szCs w:val="32"/>
        </w:rPr>
      </w:pPr>
      <w:r>
        <w:rPr>
          <w:rFonts w:hint="eastAsia" w:ascii="仿宋" w:hAnsi="仿宋" w:eastAsia="仿宋"/>
          <w:sz w:val="32"/>
          <w:szCs w:val="32"/>
        </w:rPr>
        <w:t xml:space="preserve">              （图3：支出决算结构图）</w:t>
      </w:r>
    </w:p>
    <w:p>
      <w:pPr>
        <w:spacing w:line="600" w:lineRule="exact"/>
        <w:ind w:firstLine="640" w:firstLineChars="200"/>
        <w:outlineLvl w:val="1"/>
        <w:rPr>
          <w:rStyle w:val="26"/>
          <w:rFonts w:ascii="黑体" w:hAnsi="黑体" w:eastAsia="黑体"/>
          <w:b w:val="0"/>
        </w:rPr>
      </w:pPr>
      <w:bookmarkStart w:id="24" w:name="_Toc15377208"/>
      <w:bookmarkStart w:id="25" w:name="_Toc15396606"/>
      <w:r>
        <w:rPr>
          <w:rFonts w:hint="eastAsia" w:ascii="黑体" w:hAnsi="黑体" w:eastAsia="黑体"/>
          <w:sz w:val="32"/>
          <w:szCs w:val="32"/>
        </w:rPr>
        <w:t>四、财</w:t>
      </w:r>
      <w:r>
        <w:rPr>
          <w:rStyle w:val="26"/>
          <w:rFonts w:hint="eastAsia" w:ascii="黑体" w:hAnsi="黑体" w:eastAsia="黑体"/>
          <w:b w:val="0"/>
        </w:rPr>
        <w:t>政拨款收入支出决算总体情况说明</w:t>
      </w:r>
      <w:bookmarkEnd w:id="24"/>
      <w:bookmarkEnd w:id="25"/>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21年财政拨款收、支总计</w:t>
      </w:r>
      <w:r>
        <w:rPr>
          <w:rFonts w:hint="eastAsia" w:ascii="仿宋" w:hAnsi="仿宋" w:eastAsia="仿宋"/>
          <w:sz w:val="32"/>
          <w:szCs w:val="32"/>
          <w:lang w:val="en-US" w:eastAsia="zh-CN"/>
        </w:rPr>
        <w:t>2306.44</w:t>
      </w:r>
      <w:r>
        <w:rPr>
          <w:rFonts w:hint="eastAsia" w:ascii="仿宋" w:hAnsi="仿宋" w:eastAsia="仿宋"/>
          <w:sz w:val="32"/>
          <w:szCs w:val="32"/>
        </w:rPr>
        <w:t>元。与</w:t>
      </w:r>
      <w:r>
        <w:rPr>
          <w:rFonts w:ascii="仿宋" w:hAnsi="仿宋" w:eastAsia="仿宋"/>
          <w:sz w:val="32"/>
          <w:szCs w:val="32"/>
        </w:rPr>
        <w:t>20</w:t>
      </w:r>
      <w:r>
        <w:rPr>
          <w:rFonts w:hint="eastAsia" w:ascii="仿宋" w:hAnsi="仿宋" w:eastAsia="仿宋"/>
          <w:sz w:val="32"/>
          <w:szCs w:val="32"/>
        </w:rPr>
        <w:t>20年相比，财政拨款收、支总计各</w:t>
      </w:r>
      <w:r>
        <w:rPr>
          <w:rFonts w:hint="eastAsia" w:ascii="仿宋" w:hAnsi="仿宋" w:eastAsia="仿宋"/>
          <w:sz w:val="32"/>
          <w:szCs w:val="32"/>
          <w:lang w:eastAsia="zh-CN"/>
        </w:rPr>
        <w:t>减少</w:t>
      </w:r>
      <w:r>
        <w:rPr>
          <w:rFonts w:hint="eastAsia" w:ascii="仿宋" w:hAnsi="仿宋" w:eastAsia="仿宋"/>
          <w:sz w:val="32"/>
          <w:szCs w:val="32"/>
          <w:lang w:val="en-US" w:eastAsia="zh-CN"/>
        </w:rPr>
        <w:t>100.51</w:t>
      </w:r>
      <w:r>
        <w:rPr>
          <w:rFonts w:hint="eastAsia" w:ascii="仿宋" w:hAnsi="仿宋" w:eastAsia="仿宋"/>
          <w:sz w:val="32"/>
          <w:szCs w:val="32"/>
        </w:rPr>
        <w:t>万元，</w:t>
      </w:r>
      <w:r>
        <w:rPr>
          <w:rFonts w:hint="eastAsia" w:ascii="仿宋" w:hAnsi="仿宋" w:eastAsia="仿宋"/>
          <w:sz w:val="32"/>
          <w:szCs w:val="32"/>
          <w:lang w:eastAsia="zh-CN"/>
        </w:rPr>
        <w:t>减少</w:t>
      </w:r>
      <w:r>
        <w:rPr>
          <w:rFonts w:hint="eastAsia" w:ascii="仿宋" w:hAnsi="仿宋" w:eastAsia="仿宋"/>
          <w:sz w:val="32"/>
          <w:szCs w:val="32"/>
          <w:lang w:val="en-US" w:eastAsia="zh-CN"/>
        </w:rPr>
        <w:t>4.18</w:t>
      </w:r>
      <w:r>
        <w:rPr>
          <w:rFonts w:ascii="仿宋" w:hAnsi="仿宋" w:eastAsia="仿宋"/>
          <w:sz w:val="32"/>
          <w:szCs w:val="32"/>
        </w:rPr>
        <w:t>%</w:t>
      </w:r>
      <w:r>
        <w:rPr>
          <w:rFonts w:hint="eastAsia" w:ascii="仿宋" w:hAnsi="仿宋" w:eastAsia="仿宋"/>
          <w:sz w:val="32"/>
          <w:szCs w:val="32"/>
        </w:rPr>
        <w:t>。主要变动原因是：2021年项目</w:t>
      </w:r>
      <w:r>
        <w:rPr>
          <w:rFonts w:hint="eastAsia" w:ascii="仿宋" w:hAnsi="仿宋" w:eastAsia="仿宋"/>
          <w:sz w:val="32"/>
          <w:szCs w:val="32"/>
          <w:lang w:eastAsia="zh-CN"/>
        </w:rPr>
        <w:t>减少</w:t>
      </w:r>
      <w:r>
        <w:rPr>
          <w:rFonts w:hint="eastAsia" w:ascii="仿宋" w:hAnsi="仿宋" w:eastAsia="仿宋"/>
          <w:sz w:val="32"/>
          <w:szCs w:val="32"/>
        </w:rPr>
        <w:t>，本年收入</w:t>
      </w:r>
      <w:r>
        <w:rPr>
          <w:rFonts w:hint="eastAsia" w:ascii="仿宋" w:hAnsi="仿宋" w:eastAsia="仿宋"/>
          <w:sz w:val="32"/>
          <w:szCs w:val="32"/>
          <w:lang w:eastAsia="zh-CN"/>
        </w:rPr>
        <w:t>减少</w:t>
      </w:r>
      <w:r>
        <w:rPr>
          <w:rFonts w:hint="eastAsia" w:ascii="仿宋" w:hAnsi="仿宋" w:eastAsia="仿宋"/>
          <w:sz w:val="32"/>
          <w:szCs w:val="32"/>
        </w:rPr>
        <w:t>。</w:t>
      </w:r>
    </w:p>
    <w:p>
      <w:pPr>
        <w:spacing w:line="600" w:lineRule="exact"/>
        <w:rPr>
          <w:rFonts w:ascii="仿宋" w:hAnsi="仿宋" w:eastAsia="仿宋"/>
          <w:sz w:val="32"/>
          <w:szCs w:val="32"/>
        </w:rPr>
      </w:pPr>
    </w:p>
    <w:p>
      <w:pPr>
        <w:pStyle w:val="2"/>
        <w:spacing w:before="93"/>
      </w:pPr>
      <w:r>
        <w:drawing>
          <wp:inline distT="0" distB="0" distL="114300" distR="114300">
            <wp:extent cx="5270500" cy="3061970"/>
            <wp:effectExtent l="38735" t="18415" r="43815" b="62865"/>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 xml:space="preserve">   （图4：财政拨款收、支决算总计变动情况）</w:t>
      </w:r>
    </w:p>
    <w:p>
      <w:pPr>
        <w:spacing w:line="600" w:lineRule="exact"/>
        <w:ind w:firstLine="643" w:firstLineChars="200"/>
        <w:outlineLvl w:val="1"/>
        <w:rPr>
          <w:rStyle w:val="26"/>
          <w:rFonts w:ascii="黑体" w:hAnsi="黑体" w:eastAsia="黑体"/>
          <w:b w:val="0"/>
        </w:rPr>
      </w:pPr>
      <w:bookmarkStart w:id="26" w:name="_Toc15377209"/>
      <w:bookmarkStart w:id="27" w:name="_Toc15396607"/>
      <w:r>
        <w:rPr>
          <w:rFonts w:hint="eastAsia" w:ascii="黑体" w:hAnsi="黑体" w:eastAsia="黑体"/>
          <w:b/>
          <w:sz w:val="32"/>
          <w:szCs w:val="32"/>
        </w:rPr>
        <w:t>五、一</w:t>
      </w:r>
      <w:r>
        <w:rPr>
          <w:rStyle w:val="26"/>
          <w:rFonts w:hint="eastAsia" w:ascii="黑体" w:hAnsi="黑体" w:eastAsia="黑体"/>
          <w:b w:val="0"/>
        </w:rPr>
        <w:t>般公共预算财政拨款支出决算情况说明</w:t>
      </w:r>
      <w:bookmarkEnd w:id="26"/>
      <w:bookmarkEnd w:id="27"/>
    </w:p>
    <w:p>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21年一般公共预算财政拨款支出</w:t>
      </w:r>
      <w:r>
        <w:rPr>
          <w:rFonts w:hint="eastAsia" w:ascii="仿宋" w:hAnsi="仿宋" w:eastAsia="仿宋"/>
          <w:sz w:val="32"/>
          <w:szCs w:val="32"/>
          <w:lang w:val="en-US" w:eastAsia="zh-CN"/>
        </w:rPr>
        <w:t>2306.44</w:t>
      </w:r>
      <w:r>
        <w:rPr>
          <w:rFonts w:hint="eastAsia" w:ascii="仿宋" w:hAnsi="仿宋" w:eastAsia="仿宋"/>
          <w:sz w:val="32"/>
          <w:szCs w:val="32"/>
        </w:rPr>
        <w:t>万元，占本年支出合计的</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20年相比，一般公共预算财政拨款支出</w:t>
      </w:r>
      <w:r>
        <w:rPr>
          <w:rFonts w:hint="eastAsia" w:ascii="仿宋" w:hAnsi="仿宋" w:eastAsia="仿宋"/>
          <w:sz w:val="32"/>
          <w:szCs w:val="32"/>
          <w:lang w:eastAsia="zh-CN"/>
        </w:rPr>
        <w:t>减少</w:t>
      </w:r>
      <w:r>
        <w:rPr>
          <w:rFonts w:hint="eastAsia" w:ascii="仿宋" w:hAnsi="仿宋" w:eastAsia="仿宋"/>
          <w:sz w:val="32"/>
          <w:szCs w:val="32"/>
          <w:lang w:val="en-US" w:eastAsia="zh-CN"/>
        </w:rPr>
        <w:t>100.51</w:t>
      </w:r>
      <w:r>
        <w:rPr>
          <w:rFonts w:hint="eastAsia" w:ascii="仿宋" w:hAnsi="仿宋" w:eastAsia="仿宋"/>
          <w:sz w:val="32"/>
          <w:szCs w:val="32"/>
        </w:rPr>
        <w:t>万元，</w:t>
      </w:r>
      <w:r>
        <w:rPr>
          <w:rFonts w:hint="eastAsia" w:ascii="仿宋" w:hAnsi="仿宋" w:eastAsia="仿宋"/>
          <w:sz w:val="32"/>
          <w:szCs w:val="32"/>
          <w:lang w:eastAsia="zh-CN"/>
        </w:rPr>
        <w:t>减少</w:t>
      </w:r>
      <w:r>
        <w:rPr>
          <w:rFonts w:hint="eastAsia" w:ascii="仿宋" w:hAnsi="仿宋" w:eastAsia="仿宋"/>
          <w:sz w:val="32"/>
          <w:szCs w:val="32"/>
          <w:lang w:val="en-US" w:eastAsia="zh-CN"/>
        </w:rPr>
        <w:t>4.18</w:t>
      </w:r>
      <w:r>
        <w:rPr>
          <w:rFonts w:ascii="仿宋" w:hAnsi="仿宋" w:eastAsia="仿宋"/>
          <w:sz w:val="32"/>
          <w:szCs w:val="32"/>
        </w:rPr>
        <w:t>%</w:t>
      </w:r>
      <w:r>
        <w:rPr>
          <w:rFonts w:hint="eastAsia" w:ascii="仿宋" w:hAnsi="仿宋" w:eastAsia="仿宋"/>
          <w:sz w:val="32"/>
          <w:szCs w:val="32"/>
        </w:rPr>
        <w:t>。主要变动原因是：2021年项目</w:t>
      </w:r>
      <w:r>
        <w:rPr>
          <w:rFonts w:hint="eastAsia" w:ascii="仿宋" w:hAnsi="仿宋" w:eastAsia="仿宋"/>
          <w:sz w:val="32"/>
          <w:szCs w:val="32"/>
          <w:lang w:eastAsia="zh-CN"/>
        </w:rPr>
        <w:t>减少</w:t>
      </w:r>
      <w:r>
        <w:rPr>
          <w:rFonts w:hint="eastAsia" w:ascii="仿宋" w:hAnsi="仿宋" w:eastAsia="仿宋"/>
          <w:sz w:val="32"/>
          <w:szCs w:val="32"/>
        </w:rPr>
        <w:t>，本年收入</w:t>
      </w:r>
      <w:r>
        <w:rPr>
          <w:rFonts w:hint="eastAsia" w:ascii="仿宋" w:hAnsi="仿宋" w:eastAsia="仿宋"/>
          <w:sz w:val="32"/>
          <w:szCs w:val="32"/>
          <w:lang w:eastAsia="zh-CN"/>
        </w:rPr>
        <w:t>减少</w:t>
      </w:r>
      <w:r>
        <w:rPr>
          <w:rFonts w:hint="eastAsia" w:ascii="仿宋" w:hAnsi="仿宋" w:eastAsia="仿宋"/>
          <w:sz w:val="32"/>
          <w:szCs w:val="32"/>
        </w:rPr>
        <w:t>。</w:t>
      </w:r>
    </w:p>
    <w:p>
      <w:pPr>
        <w:pStyle w:val="2"/>
        <w:spacing w:before="93"/>
      </w:pPr>
    </w:p>
    <w:p>
      <w:pPr>
        <w:pStyle w:val="2"/>
        <w:spacing w:before="93"/>
      </w:pPr>
      <w:r>
        <w:drawing>
          <wp:inline distT="0" distB="0" distL="114300" distR="114300">
            <wp:extent cx="5270500" cy="3080385"/>
            <wp:effectExtent l="38735" t="18415" r="43815" b="63500"/>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w:t>
      </w:r>
    </w:p>
    <w:p>
      <w:pPr>
        <w:spacing w:line="600" w:lineRule="exact"/>
        <w:ind w:firstLine="643" w:firstLineChars="200"/>
        <w:outlineLvl w:val="2"/>
        <w:rPr>
          <w:rFonts w:ascii="仿宋" w:hAnsi="仿宋" w:eastAsia="仿宋"/>
          <w:b/>
          <w:sz w:val="32"/>
          <w:szCs w:val="32"/>
        </w:rPr>
      </w:pPr>
      <w:bookmarkStart w:id="29" w:name="_Toc15377211"/>
      <w:r>
        <w:rPr>
          <w:rFonts w:hint="eastAsia" w:ascii="仿宋" w:hAnsi="仿宋" w:eastAsia="仿宋"/>
          <w:b/>
          <w:sz w:val="32"/>
          <w:szCs w:val="32"/>
        </w:rPr>
        <w:t>（二）一般公共预算财政拨款支出决算结构情况</w:t>
      </w:r>
      <w:bookmarkEnd w:id="29"/>
    </w:p>
    <w:p>
      <w:pPr>
        <w:spacing w:line="600" w:lineRule="exact"/>
        <w:ind w:firstLine="640"/>
        <w:rPr>
          <w:rFonts w:ascii="仿宋" w:hAnsi="仿宋" w:eastAsia="仿宋"/>
          <w:b/>
          <w:sz w:val="32"/>
          <w:szCs w:val="32"/>
        </w:rPr>
      </w:pPr>
      <w:r>
        <w:rPr>
          <w:rFonts w:ascii="仿宋" w:hAnsi="仿宋" w:eastAsia="仿宋"/>
          <w:sz w:val="32"/>
          <w:szCs w:val="32"/>
        </w:rPr>
        <w:t>20</w:t>
      </w:r>
      <w:r>
        <w:rPr>
          <w:rFonts w:hint="eastAsia" w:ascii="仿宋" w:hAnsi="仿宋" w:eastAsia="仿宋"/>
          <w:sz w:val="32"/>
          <w:szCs w:val="32"/>
        </w:rPr>
        <w:t>21年一般公共预算财政拨款支出</w:t>
      </w:r>
      <w:r>
        <w:rPr>
          <w:rFonts w:hint="eastAsia" w:ascii="仿宋" w:hAnsi="仿宋" w:eastAsia="仿宋"/>
          <w:sz w:val="32"/>
          <w:szCs w:val="32"/>
          <w:lang w:val="en-US" w:eastAsia="zh-CN"/>
        </w:rPr>
        <w:t>2306.44</w:t>
      </w:r>
      <w:r>
        <w:rPr>
          <w:rFonts w:hint="eastAsia" w:ascii="仿宋" w:hAnsi="仿宋" w:eastAsia="仿宋"/>
          <w:sz w:val="32"/>
          <w:szCs w:val="32"/>
        </w:rPr>
        <w:t>万元，主要用于以下方面：</w:t>
      </w:r>
      <w:r>
        <w:rPr>
          <w:rFonts w:hint="eastAsia" w:ascii="仿宋" w:hAnsi="仿宋" w:eastAsia="仿宋"/>
          <w:b/>
          <w:sz w:val="32"/>
          <w:szCs w:val="32"/>
        </w:rPr>
        <w:t>教育支出（类）</w:t>
      </w:r>
      <w:r>
        <w:rPr>
          <w:rFonts w:ascii="仿宋" w:hAnsi="仿宋" w:eastAsia="仿宋"/>
          <w:sz w:val="32"/>
          <w:szCs w:val="32"/>
        </w:rPr>
        <w:t>1</w:t>
      </w:r>
      <w:r>
        <w:rPr>
          <w:rFonts w:hint="eastAsia" w:ascii="仿宋" w:hAnsi="仿宋" w:eastAsia="仿宋"/>
          <w:sz w:val="32"/>
          <w:szCs w:val="32"/>
          <w:lang w:val="en-US" w:eastAsia="zh-CN"/>
        </w:rPr>
        <w:t>866.66</w:t>
      </w:r>
      <w:r>
        <w:rPr>
          <w:rFonts w:hint="eastAsia" w:ascii="仿宋" w:hAnsi="仿宋" w:eastAsia="仿宋"/>
          <w:sz w:val="32"/>
          <w:szCs w:val="32"/>
        </w:rPr>
        <w:t>万元，占8</w:t>
      </w:r>
      <w:r>
        <w:rPr>
          <w:rFonts w:hint="eastAsia" w:ascii="仿宋" w:hAnsi="仿宋" w:eastAsia="仿宋"/>
          <w:sz w:val="32"/>
          <w:szCs w:val="32"/>
          <w:lang w:val="en-US" w:eastAsia="zh-CN"/>
        </w:rPr>
        <w:t>0.94</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社会保障和就业（类）</w:t>
      </w:r>
      <w:r>
        <w:rPr>
          <w:rFonts w:hint="eastAsia" w:ascii="仿宋" w:hAnsi="仿宋" w:eastAsia="仿宋"/>
          <w:sz w:val="32"/>
          <w:szCs w:val="32"/>
        </w:rPr>
        <w:t>支出</w:t>
      </w:r>
      <w:r>
        <w:rPr>
          <w:rFonts w:hint="eastAsia" w:ascii="仿宋" w:hAnsi="仿宋" w:eastAsia="仿宋"/>
          <w:sz w:val="32"/>
          <w:szCs w:val="32"/>
          <w:lang w:val="en-US" w:eastAsia="zh-CN"/>
        </w:rPr>
        <w:t>250.45</w:t>
      </w:r>
      <w:r>
        <w:rPr>
          <w:rFonts w:hint="eastAsia" w:ascii="仿宋" w:hAnsi="仿宋" w:eastAsia="仿宋"/>
          <w:sz w:val="32"/>
          <w:szCs w:val="32"/>
        </w:rPr>
        <w:t>万元，占</w:t>
      </w:r>
      <w:r>
        <w:rPr>
          <w:rFonts w:hint="eastAsia" w:ascii="仿宋" w:hAnsi="仿宋" w:eastAsia="仿宋"/>
          <w:sz w:val="32"/>
          <w:szCs w:val="32"/>
          <w:lang w:val="en-US" w:eastAsia="zh-CN"/>
        </w:rPr>
        <w:t>10.86</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b/>
          <w:bCs/>
          <w:sz w:val="32"/>
          <w:szCs w:val="32"/>
          <w:lang w:val="en-US" w:eastAsia="zh-CN"/>
        </w:rPr>
        <w:t>55.46</w:t>
      </w:r>
      <w:r>
        <w:rPr>
          <w:rFonts w:hint="eastAsia" w:ascii="仿宋" w:hAnsi="仿宋" w:eastAsia="仿宋"/>
          <w:sz w:val="32"/>
          <w:szCs w:val="32"/>
        </w:rPr>
        <w:t>万元，占</w:t>
      </w:r>
      <w:r>
        <w:rPr>
          <w:rFonts w:hint="eastAsia" w:ascii="仿宋" w:hAnsi="仿宋" w:eastAsia="仿宋"/>
          <w:sz w:val="32"/>
          <w:szCs w:val="32"/>
          <w:lang w:val="en-US" w:eastAsia="zh-CN"/>
        </w:rPr>
        <w:t>2.40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住房保障支出</w:t>
      </w:r>
      <w:r>
        <w:rPr>
          <w:rFonts w:hint="eastAsia" w:ascii="仿宋" w:hAnsi="仿宋" w:eastAsia="仿宋"/>
          <w:b/>
          <w:sz w:val="32"/>
          <w:szCs w:val="32"/>
          <w:lang w:val="en-US" w:eastAsia="zh-CN"/>
        </w:rPr>
        <w:t>133.87</w:t>
      </w:r>
      <w:r>
        <w:rPr>
          <w:rFonts w:hint="eastAsia" w:ascii="仿宋" w:hAnsi="仿宋" w:eastAsia="仿宋"/>
          <w:sz w:val="32"/>
          <w:szCs w:val="32"/>
        </w:rPr>
        <w:t>万元，占</w:t>
      </w:r>
      <w:r>
        <w:rPr>
          <w:rFonts w:hint="eastAsia" w:ascii="仿宋" w:hAnsi="仿宋" w:eastAsia="仿宋"/>
          <w:sz w:val="32"/>
          <w:szCs w:val="32"/>
          <w:lang w:val="en-US" w:eastAsia="zh-CN"/>
        </w:rPr>
        <w:t>5.80</w:t>
      </w:r>
      <w:r>
        <w:rPr>
          <w:rFonts w:ascii="仿宋" w:hAnsi="仿宋" w:eastAsia="仿宋"/>
          <w:sz w:val="32"/>
          <w:szCs w:val="32"/>
        </w:rPr>
        <w:t>%</w:t>
      </w:r>
      <w:r>
        <w:rPr>
          <w:rFonts w:hint="eastAsia" w:ascii="仿宋" w:hAnsi="仿宋" w:eastAsia="仿宋"/>
          <w:sz w:val="32"/>
          <w:szCs w:val="32"/>
        </w:rPr>
        <w:t>。</w:t>
      </w:r>
    </w:p>
    <w:p>
      <w:pPr>
        <w:pStyle w:val="2"/>
        <w:spacing w:before="93"/>
      </w:pPr>
      <w:r>
        <w:drawing>
          <wp:inline distT="0" distB="0" distL="114300" distR="114300">
            <wp:extent cx="5269230" cy="3395345"/>
            <wp:effectExtent l="38735" t="18415" r="45085" b="72390"/>
            <wp:docPr id="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rPr>
          <w:rFonts w:ascii="仿宋" w:hAnsi="仿宋" w:eastAsia="仿宋"/>
          <w:sz w:val="32"/>
          <w:szCs w:val="32"/>
        </w:rPr>
      </w:pPr>
      <w:r>
        <w:rPr>
          <w:rFonts w:hint="eastAsia" w:ascii="仿宋_GB2312" w:eastAsia="仿宋_GB2312"/>
          <w:kern w:val="0"/>
          <w:sz w:val="30"/>
        </w:rPr>
        <w:t xml:space="preserve">    </w:t>
      </w:r>
      <w:r>
        <w:rPr>
          <w:rFonts w:hint="eastAsia" w:ascii="仿宋" w:hAnsi="仿宋" w:eastAsia="仿宋"/>
          <w:sz w:val="32"/>
          <w:szCs w:val="32"/>
        </w:rPr>
        <w:t>（图6：一般公共预算财政拨款支出决算结构）</w:t>
      </w:r>
    </w:p>
    <w:p>
      <w:pPr>
        <w:spacing w:line="600" w:lineRule="exact"/>
        <w:ind w:firstLine="643" w:firstLineChars="200"/>
        <w:outlineLvl w:val="2"/>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pPr>
        <w:spacing w:line="600" w:lineRule="exact"/>
        <w:ind w:firstLine="643" w:firstLineChars="200"/>
        <w:outlineLvl w:val="2"/>
        <w:rPr>
          <w:rFonts w:ascii="仿宋" w:hAnsi="仿宋" w:eastAsia="仿宋"/>
          <w:sz w:val="32"/>
          <w:szCs w:val="32"/>
        </w:rPr>
      </w:pPr>
      <w:bookmarkStart w:id="31" w:name="_Toc15377213"/>
      <w:bookmarkStart w:id="32" w:name="_Toc15378460"/>
      <w:bookmarkStart w:id="33" w:name="_Toc15377444"/>
      <w:r>
        <w:rPr>
          <w:rFonts w:hint="eastAsia" w:ascii="仿宋" w:hAnsi="仿宋" w:eastAsia="仿宋"/>
          <w:b/>
          <w:sz w:val="32"/>
          <w:szCs w:val="32"/>
        </w:rPr>
        <w:t>2021年一般公共预算支出决算数为</w:t>
      </w:r>
      <w:r>
        <w:rPr>
          <w:rFonts w:hint="eastAsia" w:ascii="仿宋" w:hAnsi="仿宋" w:eastAsia="仿宋"/>
          <w:b/>
          <w:sz w:val="32"/>
          <w:szCs w:val="32"/>
          <w:lang w:val="en-US" w:eastAsia="zh-CN"/>
        </w:rPr>
        <w:t>2306.44</w:t>
      </w:r>
      <w:r>
        <w:rPr>
          <w:rFonts w:hint="eastAsia" w:ascii="仿宋" w:hAnsi="仿宋" w:eastAsia="仿宋"/>
          <w:sz w:val="32"/>
          <w:szCs w:val="32"/>
        </w:rPr>
        <w:t>，</w:t>
      </w:r>
      <w:r>
        <w:rPr>
          <w:rStyle w:val="15"/>
          <w:rFonts w:hint="eastAsia" w:ascii="仿宋" w:hAnsi="仿宋" w:eastAsia="仿宋"/>
          <w:bCs/>
          <w:sz w:val="32"/>
          <w:szCs w:val="32"/>
        </w:rPr>
        <w:t>完成预算</w:t>
      </w:r>
      <w:r>
        <w:rPr>
          <w:rStyle w:val="15"/>
          <w:rFonts w:hint="eastAsia" w:ascii="仿宋" w:hAnsi="仿宋" w:eastAsia="仿宋"/>
          <w:bCs/>
          <w:sz w:val="32"/>
          <w:szCs w:val="32"/>
          <w:lang w:val="en-US" w:eastAsia="zh-CN"/>
        </w:rPr>
        <w:t>100</w:t>
      </w:r>
      <w:r>
        <w:rPr>
          <w:rStyle w:val="15"/>
          <w:rFonts w:ascii="仿宋" w:hAnsi="仿宋" w:eastAsia="仿宋"/>
          <w:bCs/>
          <w:sz w:val="32"/>
          <w:szCs w:val="32"/>
        </w:rPr>
        <w:t>%</w:t>
      </w:r>
      <w:r>
        <w:rPr>
          <w:rStyle w:val="15"/>
          <w:rFonts w:hint="eastAsia" w:ascii="仿宋" w:hAnsi="仿宋" w:eastAsia="仿宋"/>
          <w:bCs/>
          <w:sz w:val="32"/>
          <w:szCs w:val="32"/>
        </w:rPr>
        <w:t>。其中：</w:t>
      </w:r>
      <w:bookmarkEnd w:id="31"/>
      <w:bookmarkEnd w:id="32"/>
      <w:bookmarkEnd w:id="33"/>
    </w:p>
    <w:p>
      <w:pPr>
        <w:spacing w:line="600" w:lineRule="exact"/>
        <w:ind w:firstLine="643" w:firstLineChars="200"/>
        <w:rPr>
          <w:rFonts w:ascii="仿宋" w:hAnsi="仿宋" w:eastAsia="仿宋"/>
          <w:b/>
          <w:sz w:val="32"/>
          <w:szCs w:val="32"/>
        </w:rPr>
      </w:pPr>
      <w:r>
        <w:rPr>
          <w:rStyle w:val="15"/>
          <w:rFonts w:hint="eastAsia" w:ascii="仿宋" w:hAnsi="仿宋" w:eastAsia="仿宋"/>
          <w:bCs/>
          <w:sz w:val="32"/>
          <w:szCs w:val="32"/>
        </w:rPr>
        <w:t>1</w:t>
      </w:r>
      <w:r>
        <w:rPr>
          <w:rStyle w:val="15"/>
          <w:rFonts w:ascii="仿宋" w:hAnsi="仿宋" w:eastAsia="仿宋"/>
          <w:bCs/>
          <w:sz w:val="32"/>
          <w:szCs w:val="32"/>
        </w:rPr>
        <w:t>.</w:t>
      </w:r>
      <w:r>
        <w:rPr>
          <w:rStyle w:val="15"/>
          <w:rFonts w:hint="eastAsia" w:ascii="仿宋" w:hAnsi="仿宋" w:eastAsia="仿宋"/>
          <w:bCs/>
          <w:sz w:val="32"/>
          <w:szCs w:val="32"/>
        </w:rPr>
        <w:t>教育（类）教育（款）教育支出（项）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1866.66</w:t>
      </w:r>
      <w:r>
        <w:rPr>
          <w:rStyle w:val="15"/>
          <w:rFonts w:hint="eastAsia" w:ascii="仿宋" w:hAnsi="仿宋" w:eastAsia="仿宋"/>
          <w:b w:val="0"/>
          <w:bCs/>
          <w:sz w:val="32"/>
          <w:szCs w:val="32"/>
        </w:rPr>
        <w:t>万元，完成预算</w:t>
      </w:r>
      <w:r>
        <w:rPr>
          <w:rStyle w:val="15"/>
          <w:rFonts w:hint="eastAsia" w:ascii="仿宋" w:hAnsi="仿宋" w:eastAsia="仿宋"/>
          <w:b w:val="0"/>
          <w:bCs/>
          <w:sz w:val="32"/>
          <w:szCs w:val="32"/>
          <w:lang w:val="en-US" w:eastAsia="zh-CN"/>
        </w:rPr>
        <w:t>100</w:t>
      </w:r>
      <w:r>
        <w:rPr>
          <w:rStyle w:val="15"/>
          <w:rFonts w:ascii="仿宋" w:hAnsi="仿宋" w:eastAsia="仿宋"/>
          <w:b w:val="0"/>
          <w:bCs/>
          <w:sz w:val="32"/>
          <w:szCs w:val="32"/>
        </w:rPr>
        <w:t>%</w:t>
      </w:r>
      <w:r>
        <w:rPr>
          <w:rFonts w:hint="eastAsia" w:ascii="仿宋_GB2312" w:hAnsi="宋体" w:eastAsia="仿宋_GB2312"/>
          <w:sz w:val="32"/>
          <w:szCs w:val="32"/>
        </w:rPr>
        <w:t>。</w:t>
      </w:r>
    </w:p>
    <w:p>
      <w:pPr>
        <w:spacing w:line="600" w:lineRule="exact"/>
        <w:ind w:firstLine="643" w:firstLineChars="200"/>
        <w:rPr>
          <w:rStyle w:val="15"/>
          <w:rFonts w:ascii="仿宋" w:hAnsi="仿宋" w:eastAsia="仿宋"/>
          <w:b w:val="0"/>
          <w:bCs/>
          <w:sz w:val="32"/>
          <w:szCs w:val="32"/>
        </w:rPr>
      </w:pPr>
      <w:r>
        <w:rPr>
          <w:rStyle w:val="15"/>
          <w:rFonts w:hint="eastAsia" w:ascii="仿宋" w:hAnsi="仿宋" w:eastAsia="仿宋"/>
          <w:bCs/>
          <w:sz w:val="32"/>
          <w:szCs w:val="32"/>
        </w:rPr>
        <w:t>2</w:t>
      </w:r>
      <w:r>
        <w:rPr>
          <w:rStyle w:val="15"/>
          <w:rFonts w:ascii="仿宋" w:hAnsi="仿宋" w:eastAsia="仿宋"/>
          <w:bCs/>
          <w:sz w:val="32"/>
          <w:szCs w:val="32"/>
        </w:rPr>
        <w:t>.</w:t>
      </w:r>
      <w:r>
        <w:rPr>
          <w:rStyle w:val="15"/>
          <w:rFonts w:hint="eastAsia" w:ascii="仿宋" w:hAnsi="仿宋" w:eastAsia="仿宋"/>
          <w:bCs/>
          <w:sz w:val="32"/>
          <w:szCs w:val="32"/>
        </w:rPr>
        <w:t>社会保障和就业（类）行政事业单位养老支出（款）机关事业单位基本养老保险缴费支出（项）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143.36</w:t>
      </w:r>
      <w:r>
        <w:rPr>
          <w:rStyle w:val="15"/>
          <w:rFonts w:hint="eastAsia" w:ascii="仿宋" w:hAnsi="仿宋" w:eastAsia="仿宋"/>
          <w:b w:val="0"/>
          <w:bCs/>
          <w:sz w:val="32"/>
          <w:szCs w:val="32"/>
        </w:rPr>
        <w:t>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3" w:firstLineChars="200"/>
        <w:rPr>
          <w:rStyle w:val="15"/>
          <w:rFonts w:ascii="仿宋" w:hAnsi="仿宋" w:eastAsia="仿宋"/>
          <w:b w:val="0"/>
          <w:bCs/>
          <w:sz w:val="32"/>
          <w:szCs w:val="32"/>
        </w:rPr>
      </w:pPr>
      <w:r>
        <w:rPr>
          <w:rStyle w:val="15"/>
          <w:rFonts w:hint="eastAsia" w:ascii="仿宋" w:hAnsi="仿宋" w:eastAsia="仿宋"/>
          <w:bCs/>
          <w:sz w:val="32"/>
          <w:szCs w:val="32"/>
        </w:rPr>
        <w:t>3.社会保障和就业（类）行政事业单位年金支出（款）机关事业单位职业年金缴费支出（项）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85.71</w:t>
      </w:r>
      <w:r>
        <w:rPr>
          <w:rStyle w:val="15"/>
          <w:rFonts w:hint="eastAsia" w:ascii="仿宋" w:hAnsi="仿宋" w:eastAsia="仿宋"/>
          <w:b w:val="0"/>
          <w:bCs/>
          <w:sz w:val="32"/>
          <w:szCs w:val="32"/>
        </w:rPr>
        <w:t>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3" w:firstLineChars="200"/>
        <w:rPr>
          <w:rStyle w:val="15"/>
          <w:rFonts w:ascii="仿宋" w:hAnsi="仿宋" w:eastAsia="仿宋"/>
          <w:b w:val="0"/>
          <w:bCs/>
          <w:sz w:val="32"/>
          <w:szCs w:val="32"/>
        </w:rPr>
      </w:pPr>
      <w:r>
        <w:rPr>
          <w:rStyle w:val="15"/>
          <w:rFonts w:hint="eastAsia" w:ascii="仿宋" w:hAnsi="仿宋" w:eastAsia="仿宋"/>
          <w:bCs/>
          <w:sz w:val="32"/>
          <w:szCs w:val="32"/>
        </w:rPr>
        <w:t>4.社会保障和就业（类）其他社会保障和就业支出（款）其他残疾人事业（项）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14.96</w:t>
      </w:r>
      <w:r>
        <w:rPr>
          <w:rStyle w:val="15"/>
          <w:rFonts w:hint="eastAsia" w:ascii="仿宋" w:hAnsi="仿宋" w:eastAsia="仿宋"/>
          <w:b w:val="0"/>
          <w:bCs/>
          <w:sz w:val="32"/>
          <w:szCs w:val="32"/>
        </w:rPr>
        <w:t>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pStyle w:val="2"/>
        <w:spacing w:before="93"/>
        <w:rPr>
          <w:rFonts w:ascii="仿宋" w:hAnsi="仿宋" w:eastAsia="仿宋"/>
          <w:b/>
          <w:sz w:val="32"/>
          <w:szCs w:val="32"/>
        </w:rPr>
      </w:pPr>
      <w:r>
        <w:rPr>
          <w:rFonts w:hint="eastAsia"/>
        </w:rPr>
        <w:t xml:space="preserve">     </w:t>
      </w:r>
      <w:r>
        <w:rPr>
          <w:rStyle w:val="15"/>
          <w:rFonts w:hint="eastAsia" w:ascii="仿宋" w:hAnsi="仿宋" w:eastAsia="仿宋"/>
          <w:bCs/>
          <w:sz w:val="32"/>
          <w:szCs w:val="32"/>
        </w:rPr>
        <w:t>5</w:t>
      </w:r>
      <w:r>
        <w:rPr>
          <w:rStyle w:val="15"/>
          <w:rFonts w:ascii="仿宋" w:hAnsi="仿宋" w:eastAsia="仿宋"/>
          <w:bCs/>
          <w:sz w:val="32"/>
          <w:szCs w:val="32"/>
        </w:rPr>
        <w:t>.</w:t>
      </w:r>
      <w:r>
        <w:rPr>
          <w:rFonts w:hint="eastAsia" w:ascii="仿宋" w:hAnsi="仿宋" w:eastAsia="仿宋"/>
          <w:b/>
          <w:bCs/>
          <w:sz w:val="32"/>
          <w:szCs w:val="32"/>
        </w:rPr>
        <w:t>卫生健康</w:t>
      </w:r>
      <w:r>
        <w:rPr>
          <w:rStyle w:val="15"/>
          <w:rFonts w:hint="eastAsia" w:ascii="仿宋" w:hAnsi="仿宋" w:eastAsia="仿宋"/>
          <w:bCs/>
          <w:sz w:val="32"/>
          <w:szCs w:val="32"/>
        </w:rPr>
        <w:t>（类）行政事业单位医疗（款）事业单位医疗（项）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55.46</w:t>
      </w:r>
      <w:r>
        <w:rPr>
          <w:rStyle w:val="15"/>
          <w:rFonts w:hint="eastAsia" w:ascii="仿宋" w:hAnsi="仿宋" w:eastAsia="仿宋"/>
          <w:b w:val="0"/>
          <w:bCs/>
          <w:sz w:val="32"/>
          <w:szCs w:val="32"/>
        </w:rPr>
        <w:t>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6.住房保障（类）住房改革（款）住房公积金（项）：支出决算数为</w:t>
      </w:r>
      <w:r>
        <w:rPr>
          <w:rFonts w:hint="eastAsia" w:ascii="仿宋" w:hAnsi="仿宋" w:eastAsia="仿宋"/>
          <w:b/>
          <w:sz w:val="32"/>
          <w:szCs w:val="32"/>
          <w:lang w:val="en-US" w:eastAsia="zh-CN"/>
        </w:rPr>
        <w:t>133.87</w:t>
      </w:r>
      <w:r>
        <w:rPr>
          <w:rFonts w:hint="eastAsia" w:ascii="仿宋" w:hAnsi="仿宋" w:eastAsia="仿宋"/>
          <w:b/>
          <w:sz w:val="32"/>
          <w:szCs w:val="32"/>
        </w:rPr>
        <w:t>万元，</w:t>
      </w:r>
      <w:r>
        <w:rPr>
          <w:rStyle w:val="15"/>
          <w:rFonts w:hint="eastAsia" w:ascii="仿宋" w:hAnsi="仿宋" w:eastAsia="仿宋"/>
          <w:b w:val="0"/>
          <w:bCs/>
          <w:sz w:val="32"/>
          <w:szCs w:val="32"/>
        </w:rPr>
        <w:t>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tabs>
          <w:tab w:val="right" w:pos="8306"/>
        </w:tabs>
        <w:spacing w:line="600" w:lineRule="exact"/>
        <w:ind w:firstLine="640"/>
        <w:outlineLvl w:val="1"/>
        <w:rPr>
          <w:rStyle w:val="26"/>
          <w:b w:val="0"/>
        </w:rPr>
      </w:pPr>
      <w:bookmarkStart w:id="34" w:name="_Toc15396608"/>
      <w:bookmarkStart w:id="35" w:name="_Toc15377214"/>
      <w:r>
        <w:rPr>
          <w:rFonts w:hint="eastAsia" w:ascii="黑体" w:eastAsia="黑体"/>
          <w:b/>
          <w:sz w:val="32"/>
          <w:szCs w:val="32"/>
        </w:rPr>
        <w:t>六、</w:t>
      </w:r>
      <w:r>
        <w:rPr>
          <w:rFonts w:hint="eastAsia" w:ascii="黑体" w:hAnsi="黑体" w:eastAsia="黑体"/>
          <w:b/>
          <w:sz w:val="32"/>
          <w:szCs w:val="32"/>
        </w:rPr>
        <w:t>一</w:t>
      </w:r>
      <w:r>
        <w:rPr>
          <w:rStyle w:val="26"/>
          <w:rFonts w:hint="eastAsia" w:ascii="黑体" w:hAnsi="黑体" w:eastAsia="黑体"/>
          <w:b w:val="0"/>
        </w:rPr>
        <w:t>般公共预算财政拨款基本支出决算情况说明</w:t>
      </w:r>
      <w:bookmarkEnd w:id="34"/>
      <w:bookmarkEnd w:id="35"/>
      <w:r>
        <w:rPr>
          <w:rStyle w:val="26"/>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21年一般公共预算财政拨款基本支出</w:t>
      </w:r>
      <w:r>
        <w:rPr>
          <w:rFonts w:hint="eastAsia" w:ascii="仿宋" w:hAnsi="仿宋" w:eastAsia="仿宋"/>
          <w:sz w:val="32"/>
          <w:szCs w:val="32"/>
          <w:lang w:val="en-US" w:eastAsia="zh-CN"/>
        </w:rPr>
        <w:t>2113.99</w:t>
      </w:r>
      <w:r>
        <w:rPr>
          <w:rFonts w:hint="eastAsia" w:ascii="仿宋" w:hAnsi="仿宋" w:eastAsia="仿宋"/>
          <w:sz w:val="32"/>
          <w:szCs w:val="32"/>
        </w:rPr>
        <w:t>万元，其中：</w:t>
      </w:r>
    </w:p>
    <w:p>
      <w:pPr>
        <w:spacing w:line="600" w:lineRule="exact"/>
        <w:ind w:firstLine="645"/>
        <w:rPr>
          <w:rFonts w:hint="default" w:ascii="仿宋" w:hAnsi="仿宋" w:eastAsia="仿宋"/>
          <w:sz w:val="32"/>
          <w:szCs w:val="32"/>
        </w:rPr>
      </w:pPr>
      <w:r>
        <w:rPr>
          <w:rFonts w:hint="eastAsia" w:ascii="仿宋" w:hAnsi="仿宋" w:eastAsia="仿宋"/>
          <w:b/>
          <w:sz w:val="32"/>
          <w:szCs w:val="32"/>
        </w:rPr>
        <w:t>人员经费</w:t>
      </w:r>
      <w:r>
        <w:rPr>
          <w:rFonts w:hint="eastAsia" w:ascii="仿宋" w:hAnsi="仿宋" w:eastAsia="仿宋"/>
          <w:b/>
          <w:sz w:val="32"/>
          <w:szCs w:val="32"/>
          <w:lang w:val="en-US" w:eastAsia="zh-CN"/>
        </w:rPr>
        <w:t>1816.07</w:t>
      </w:r>
      <w:r>
        <w:rPr>
          <w:rFonts w:hint="eastAsia" w:ascii="仿宋" w:hAnsi="仿宋" w:eastAsia="仿宋"/>
          <w:b/>
          <w:sz w:val="32"/>
          <w:szCs w:val="32"/>
        </w:rPr>
        <w:t>万元，主要包括</w:t>
      </w:r>
      <w:r>
        <w:rPr>
          <w:rFonts w:hint="eastAsia" w:ascii="仿宋" w:hAnsi="仿宋" w:eastAsia="仿宋"/>
          <w:sz w:val="32"/>
          <w:szCs w:val="32"/>
        </w:rPr>
        <w:t>：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5"/>
        <w:rPr>
          <w:rFonts w:ascii="仿宋" w:hAnsi="仿宋" w:eastAsia="仿宋"/>
          <w:sz w:val="32"/>
          <w:szCs w:val="32"/>
        </w:rPr>
      </w:pPr>
      <w:r>
        <w:rPr>
          <w:rFonts w:hint="eastAsia" w:ascii="仿宋" w:hAnsi="仿宋" w:eastAsia="仿宋"/>
          <w:sz w:val="32"/>
          <w:szCs w:val="32"/>
        </w:rPr>
        <w:t>　　</w:t>
      </w:r>
      <w:r>
        <w:rPr>
          <w:rFonts w:hint="eastAsia" w:ascii="仿宋" w:hAnsi="仿宋" w:eastAsia="仿宋"/>
          <w:b/>
          <w:sz w:val="32"/>
          <w:szCs w:val="32"/>
        </w:rPr>
        <w:t>日常公用经费</w:t>
      </w:r>
      <w:r>
        <w:rPr>
          <w:rFonts w:hint="eastAsia" w:ascii="仿宋" w:hAnsi="仿宋" w:eastAsia="仿宋"/>
          <w:b/>
          <w:sz w:val="32"/>
          <w:szCs w:val="32"/>
          <w:lang w:val="en-US" w:eastAsia="zh-CN"/>
        </w:rPr>
        <w:t>297.92</w:t>
      </w:r>
      <w:r>
        <w:rPr>
          <w:rFonts w:hint="eastAsia" w:ascii="仿宋" w:hAnsi="仿宋" w:eastAsia="仿宋"/>
          <w:b/>
          <w:sz w:val="32"/>
          <w:szCs w:val="32"/>
        </w:rPr>
        <w:t>万元，主要包括</w:t>
      </w:r>
      <w:r>
        <w:rPr>
          <w:rFonts w:hint="eastAsia" w:ascii="仿宋" w:hAnsi="仿宋" w:eastAsia="仿宋"/>
          <w:sz w:val="32"/>
          <w:szCs w:val="32"/>
        </w:rPr>
        <w:t>：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jc w:val="both"/>
        <w:outlineLvl w:val="1"/>
        <w:rPr>
          <w:rStyle w:val="26"/>
          <w:rFonts w:ascii="黑体" w:hAnsi="黑体" w:eastAsia="黑体"/>
          <w:b w:val="0"/>
        </w:rPr>
      </w:pPr>
      <w:bookmarkStart w:id="36" w:name="_Toc15377215"/>
      <w:bookmarkStart w:id="37" w:name="_Toc15396609"/>
      <w:r>
        <w:rPr>
          <w:rFonts w:hint="eastAsia" w:ascii="黑体" w:eastAsia="黑体"/>
          <w:sz w:val="32"/>
          <w:szCs w:val="32"/>
        </w:rPr>
        <w:t>七、</w:t>
      </w:r>
      <w:r>
        <w:rPr>
          <w:rStyle w:val="26"/>
          <w:rFonts w:hint="eastAsia" w:ascii="黑体" w:hAnsi="黑体" w:eastAsia="黑体"/>
        </w:rPr>
        <w:t>“三公”经费财政拨款支出决算情况说明</w:t>
      </w:r>
    </w:p>
    <w:p>
      <w:pPr>
        <w:spacing w:line="600" w:lineRule="exact"/>
        <w:ind w:firstLine="640"/>
        <w:jc w:val="both"/>
        <w:outlineLvl w:val="2"/>
        <w:rPr>
          <w:rFonts w:ascii="仿宋" w:hAnsi="仿宋" w:eastAsia="仿宋"/>
          <w:b/>
          <w:sz w:val="32"/>
          <w:szCs w:val="32"/>
        </w:rPr>
      </w:pPr>
      <w:r>
        <w:rPr>
          <w:rFonts w:hint="eastAsia" w:ascii="仿宋" w:hAnsi="仿宋" w:eastAsia="仿宋"/>
          <w:b/>
          <w:sz w:val="32"/>
          <w:szCs w:val="32"/>
        </w:rPr>
        <w:t>（一）“三公”经费财政拨款支出决算总体情况说明</w:t>
      </w:r>
    </w:p>
    <w:p>
      <w:pPr>
        <w:spacing w:line="600" w:lineRule="exact"/>
        <w:ind w:firstLine="640"/>
        <w:jc w:val="both"/>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21年“三公”经费财政拨款支出决算为0万元，完成预算0</w:t>
      </w:r>
      <w:r>
        <w:rPr>
          <w:rFonts w:ascii="仿宋" w:hAnsi="仿宋" w:eastAsia="仿宋"/>
          <w:sz w:val="32"/>
          <w:szCs w:val="32"/>
        </w:rPr>
        <w:t>%</w:t>
      </w:r>
      <w:r>
        <w:rPr>
          <w:rFonts w:hint="eastAsia" w:ascii="仿宋" w:hAnsi="仿宋" w:eastAsia="仿宋"/>
          <w:sz w:val="32"/>
          <w:szCs w:val="32"/>
        </w:rPr>
        <w:t>，决算数小于预算数的主要原因是本单位2021年无“三公”经费支出。</w:t>
      </w:r>
    </w:p>
    <w:p>
      <w:pPr>
        <w:spacing w:line="600" w:lineRule="exact"/>
        <w:ind w:firstLine="640"/>
        <w:jc w:val="both"/>
        <w:outlineLvl w:val="2"/>
        <w:rPr>
          <w:rFonts w:ascii="仿宋" w:hAnsi="仿宋" w:eastAsia="仿宋"/>
          <w:b/>
          <w:sz w:val="32"/>
          <w:szCs w:val="32"/>
        </w:rPr>
      </w:pPr>
      <w:r>
        <w:rPr>
          <w:rFonts w:hint="eastAsia" w:ascii="仿宋" w:hAnsi="仿宋" w:eastAsia="仿宋"/>
          <w:b/>
          <w:sz w:val="32"/>
          <w:szCs w:val="32"/>
        </w:rPr>
        <w:t>（二）“三公”经费财政拨款支出决算具体情况说明</w:t>
      </w:r>
    </w:p>
    <w:p>
      <w:pPr>
        <w:spacing w:line="600" w:lineRule="exact"/>
        <w:ind w:firstLine="640"/>
        <w:jc w:val="both"/>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21年“三公”经费财政拨款支出决算中，因公出国（境）费支出决算0万元，占0</w:t>
      </w:r>
      <w:r>
        <w:rPr>
          <w:rFonts w:ascii="仿宋" w:hAnsi="仿宋" w:eastAsia="仿宋"/>
          <w:sz w:val="32"/>
          <w:szCs w:val="32"/>
        </w:rPr>
        <w:t>%</w:t>
      </w:r>
      <w:r>
        <w:rPr>
          <w:rFonts w:hint="eastAsia" w:ascii="仿宋" w:hAnsi="仿宋" w:eastAsia="仿宋"/>
          <w:sz w:val="32"/>
          <w:szCs w:val="32"/>
        </w:rPr>
        <w:t>；公务用车购置及运行维护费支出决算0万元，占0</w:t>
      </w:r>
      <w:r>
        <w:rPr>
          <w:rFonts w:ascii="仿宋" w:hAnsi="仿宋" w:eastAsia="仿宋"/>
          <w:sz w:val="32"/>
          <w:szCs w:val="32"/>
        </w:rPr>
        <w:t>%</w:t>
      </w:r>
      <w:r>
        <w:rPr>
          <w:rFonts w:hint="eastAsia" w:ascii="仿宋" w:hAnsi="仿宋" w:eastAsia="仿宋"/>
          <w:sz w:val="32"/>
          <w:szCs w:val="32"/>
        </w:rPr>
        <w:t>；公务接待费支出决算0万元，占0</w:t>
      </w:r>
      <w:r>
        <w:rPr>
          <w:rFonts w:ascii="仿宋" w:hAnsi="仿宋" w:eastAsia="仿宋"/>
          <w:sz w:val="32"/>
          <w:szCs w:val="32"/>
        </w:rPr>
        <w:t>%</w:t>
      </w:r>
      <w:r>
        <w:rPr>
          <w:rFonts w:hint="eastAsia" w:ascii="仿宋" w:hAnsi="仿宋" w:eastAsia="仿宋"/>
          <w:sz w:val="32"/>
          <w:szCs w:val="32"/>
        </w:rPr>
        <w:t>。具体情况如下：</w:t>
      </w:r>
    </w:p>
    <w:p>
      <w:pPr>
        <w:spacing w:line="600" w:lineRule="exact"/>
        <w:ind w:firstLine="640"/>
        <w:jc w:val="both"/>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因公出国（境）经费支出0</w:t>
      </w:r>
      <w:r>
        <w:rPr>
          <w:rFonts w:hint="eastAsia" w:ascii="仿宋_GB2312" w:eastAsia="仿宋_GB2312"/>
          <w:sz w:val="32"/>
          <w:szCs w:val="32"/>
        </w:rPr>
        <w:t>万元</w:t>
      </w:r>
      <w:r>
        <w:rPr>
          <w:rFonts w:hint="eastAsia" w:ascii="仿宋_GB2312" w:eastAsia="仿宋_GB2312"/>
          <w:b/>
          <w:sz w:val="32"/>
          <w:szCs w:val="32"/>
        </w:rPr>
        <w:t>，完成预算0</w:t>
      </w:r>
      <w:r>
        <w:rPr>
          <w:rFonts w:ascii="仿宋_GB2312" w:eastAsia="仿宋_GB2312"/>
          <w:b/>
          <w:sz w:val="32"/>
          <w:szCs w:val="32"/>
        </w:rPr>
        <w:t>%</w:t>
      </w:r>
      <w:r>
        <w:rPr>
          <w:rFonts w:hint="eastAsia" w:ascii="仿宋_GB2312" w:eastAsia="仿宋_GB2312"/>
          <w:b/>
          <w:sz w:val="32"/>
          <w:szCs w:val="32"/>
        </w:rPr>
        <w:t>。全年安排因公出国（境）团组0次，出国（境）0人。因公</w:t>
      </w:r>
      <w:r>
        <w:rPr>
          <w:rFonts w:hint="eastAsia" w:ascii="仿宋_GB2312" w:eastAsia="仿宋_GB2312"/>
          <w:sz w:val="32"/>
          <w:szCs w:val="32"/>
        </w:rPr>
        <w:t>出国（境）支出决算与</w:t>
      </w:r>
      <w:r>
        <w:rPr>
          <w:rFonts w:ascii="仿宋_GB2312" w:eastAsia="仿宋_GB2312"/>
          <w:sz w:val="32"/>
          <w:szCs w:val="32"/>
        </w:rPr>
        <w:t>20</w:t>
      </w:r>
      <w:r>
        <w:rPr>
          <w:rFonts w:hint="eastAsia" w:ascii="仿宋_GB2312" w:eastAsia="仿宋_GB2312"/>
          <w:sz w:val="32"/>
          <w:szCs w:val="32"/>
        </w:rPr>
        <w:t>20年持平。</w:t>
      </w:r>
    </w:p>
    <w:p>
      <w:pPr>
        <w:spacing w:line="600" w:lineRule="exact"/>
        <w:ind w:firstLine="640"/>
        <w:jc w:val="both"/>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公务用车购置及运行维护费支出0</w:t>
      </w:r>
      <w:r>
        <w:rPr>
          <w:rFonts w:hint="eastAsia" w:ascii="仿宋_GB2312" w:eastAsia="仿宋_GB2312"/>
          <w:sz w:val="32"/>
          <w:szCs w:val="32"/>
        </w:rPr>
        <w:t>万</w:t>
      </w:r>
      <w:r>
        <w:rPr>
          <w:rFonts w:hint="eastAsia" w:ascii="仿宋_GB2312" w:eastAsia="仿宋_GB2312"/>
          <w:b/>
          <w:sz w:val="32"/>
          <w:szCs w:val="32"/>
        </w:rPr>
        <w:t>元,完成预算0</w:t>
      </w:r>
      <w:r>
        <w:rPr>
          <w:rFonts w:ascii="仿宋_GB2312" w:eastAsia="仿宋_GB2312"/>
          <w:b/>
          <w:sz w:val="32"/>
          <w:szCs w:val="32"/>
        </w:rPr>
        <w:t>%</w:t>
      </w:r>
      <w:r>
        <w:rPr>
          <w:rFonts w:hint="eastAsia" w:ascii="仿宋_GB2312" w:eastAsia="仿宋_GB2312"/>
          <w:b/>
          <w:sz w:val="32"/>
          <w:szCs w:val="32"/>
        </w:rPr>
        <w:t>。公务用车购置及运行维护费支出决算与</w:t>
      </w:r>
      <w:r>
        <w:rPr>
          <w:rFonts w:ascii="仿宋_GB2312" w:eastAsia="仿宋_GB2312"/>
          <w:b/>
          <w:sz w:val="32"/>
          <w:szCs w:val="32"/>
        </w:rPr>
        <w:t>20</w:t>
      </w:r>
      <w:r>
        <w:rPr>
          <w:rFonts w:hint="eastAsia" w:ascii="仿宋_GB2312" w:eastAsia="仿宋_GB2312"/>
          <w:b/>
          <w:sz w:val="32"/>
          <w:szCs w:val="32"/>
        </w:rPr>
        <w:t>20年持平。</w:t>
      </w:r>
    </w:p>
    <w:p>
      <w:pPr>
        <w:spacing w:line="600" w:lineRule="exact"/>
        <w:ind w:firstLine="640" w:firstLineChars="200"/>
        <w:jc w:val="both"/>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公务用车购置支出0</w:t>
      </w:r>
      <w:r>
        <w:rPr>
          <w:rFonts w:hint="eastAsia" w:ascii="仿宋_GB2312" w:eastAsia="仿宋_GB2312"/>
          <w:sz w:val="32"/>
          <w:szCs w:val="32"/>
        </w:rPr>
        <w:t>万元。全年按规定更新购置公务用车0辆。截至</w:t>
      </w:r>
      <w:r>
        <w:rPr>
          <w:rFonts w:ascii="仿宋_GB2312" w:eastAsia="仿宋_GB2312"/>
          <w:sz w:val="32"/>
          <w:szCs w:val="32"/>
        </w:rPr>
        <w:t>20</w:t>
      </w:r>
      <w:r>
        <w:rPr>
          <w:rFonts w:hint="eastAsia" w:ascii="仿宋_GB2312" w:eastAsia="仿宋_GB2312"/>
          <w:sz w:val="32"/>
          <w:szCs w:val="32"/>
        </w:rPr>
        <w:t>21年</w:t>
      </w:r>
      <w:r>
        <w:rPr>
          <w:rFonts w:ascii="仿宋_GB2312" w:eastAsia="仿宋_GB2312"/>
          <w:sz w:val="32"/>
          <w:szCs w:val="32"/>
        </w:rPr>
        <w:t>12</w:t>
      </w:r>
      <w:r>
        <w:rPr>
          <w:rFonts w:hint="eastAsia" w:ascii="仿宋_GB2312" w:eastAsia="仿宋_GB2312"/>
          <w:sz w:val="32"/>
          <w:szCs w:val="32"/>
        </w:rPr>
        <w:t>月底，单位共有公务用车0辆，其中：轿车0辆、越野车0辆、载客汽车0辆。</w:t>
      </w:r>
    </w:p>
    <w:p>
      <w:pPr>
        <w:spacing w:line="600" w:lineRule="exact"/>
        <w:ind w:firstLine="640"/>
        <w:jc w:val="both"/>
        <w:rPr>
          <w:rFonts w:ascii="仿宋_GB2312" w:eastAsia="仿宋_GB2312"/>
          <w:sz w:val="32"/>
          <w:szCs w:val="32"/>
        </w:rPr>
      </w:pPr>
      <w:r>
        <w:rPr>
          <w:rFonts w:hint="eastAsia" w:ascii="仿宋_GB2312" w:eastAsia="仿宋_GB2312"/>
          <w:b/>
          <w:sz w:val="32"/>
          <w:szCs w:val="32"/>
        </w:rPr>
        <w:t>公务用车运行维护费支出0</w:t>
      </w:r>
      <w:r>
        <w:rPr>
          <w:rFonts w:hint="eastAsia" w:ascii="仿宋_GB2312" w:eastAsia="仿宋_GB2312"/>
          <w:sz w:val="32"/>
          <w:szCs w:val="32"/>
        </w:rPr>
        <w:t>万元。</w:t>
      </w:r>
    </w:p>
    <w:p>
      <w:pPr>
        <w:spacing w:line="600" w:lineRule="exact"/>
        <w:ind w:firstLine="640"/>
        <w:jc w:val="both"/>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公务接待费支出0</w:t>
      </w:r>
      <w:r>
        <w:rPr>
          <w:rFonts w:hint="eastAsia" w:ascii="仿宋_GB2312" w:eastAsia="仿宋_GB2312"/>
          <w:sz w:val="32"/>
          <w:szCs w:val="32"/>
        </w:rPr>
        <w:t>万</w:t>
      </w:r>
      <w:r>
        <w:rPr>
          <w:rFonts w:hint="eastAsia" w:ascii="仿宋_GB2312" w:eastAsia="仿宋_GB2312"/>
          <w:b/>
          <w:sz w:val="32"/>
          <w:szCs w:val="32"/>
        </w:rPr>
        <w:t>元，完成预算0</w:t>
      </w:r>
      <w:r>
        <w:rPr>
          <w:rFonts w:ascii="仿宋_GB2312" w:eastAsia="仿宋_GB2312"/>
          <w:b/>
          <w:sz w:val="32"/>
          <w:szCs w:val="32"/>
        </w:rPr>
        <w:t>%</w:t>
      </w:r>
      <w:r>
        <w:rPr>
          <w:rFonts w:hint="eastAsia" w:ascii="仿宋_GB2312" w:eastAsia="仿宋_GB2312"/>
          <w:b/>
          <w:sz w:val="32"/>
          <w:szCs w:val="32"/>
        </w:rPr>
        <w:t>。公</w:t>
      </w:r>
      <w:r>
        <w:rPr>
          <w:rFonts w:hint="eastAsia" w:ascii="仿宋_GB2312" w:eastAsia="仿宋_GB2312"/>
          <w:sz w:val="32"/>
          <w:szCs w:val="32"/>
        </w:rPr>
        <w:t>务接待费支出决算与</w:t>
      </w:r>
      <w:r>
        <w:rPr>
          <w:rFonts w:ascii="仿宋_GB2312" w:eastAsia="仿宋_GB2312"/>
          <w:sz w:val="32"/>
          <w:szCs w:val="32"/>
        </w:rPr>
        <w:t>20</w:t>
      </w:r>
      <w:r>
        <w:rPr>
          <w:rFonts w:hint="eastAsia" w:ascii="仿宋_GB2312" w:eastAsia="仿宋_GB2312"/>
          <w:sz w:val="32"/>
          <w:szCs w:val="32"/>
        </w:rPr>
        <w:t>20年持平。</w:t>
      </w:r>
    </w:p>
    <w:p>
      <w:pPr>
        <w:spacing w:line="600" w:lineRule="exact"/>
        <w:ind w:firstLine="640"/>
        <w:jc w:val="both"/>
        <w:rPr>
          <w:rFonts w:ascii="仿宋_GB2312" w:eastAsia="仿宋_GB2312"/>
          <w:b/>
          <w:sz w:val="32"/>
          <w:szCs w:val="32"/>
        </w:rPr>
      </w:pPr>
      <w:r>
        <w:rPr>
          <w:rFonts w:hint="eastAsia" w:ascii="仿宋_GB2312" w:eastAsia="仿宋_GB2312"/>
          <w:b/>
          <w:sz w:val="32"/>
          <w:szCs w:val="32"/>
        </w:rPr>
        <w:t>国内公务接待支出0万元。</w:t>
      </w:r>
    </w:p>
    <w:p>
      <w:pPr>
        <w:spacing w:line="600" w:lineRule="exact"/>
        <w:ind w:firstLine="643" w:firstLineChars="200"/>
        <w:jc w:val="both"/>
        <w:rPr>
          <w:rFonts w:ascii="仿宋" w:hAnsi="仿宋" w:eastAsia="仿宋"/>
          <w:color w:val="000000"/>
          <w:sz w:val="32"/>
          <w:szCs w:val="32"/>
        </w:rPr>
      </w:pPr>
      <w:r>
        <w:rPr>
          <w:rFonts w:hint="eastAsia" w:ascii="仿宋_GB2312" w:eastAsia="仿宋_GB2312"/>
          <w:b/>
          <w:sz w:val="32"/>
          <w:szCs w:val="32"/>
        </w:rPr>
        <w:t>外事接待支出0万元。</w:t>
      </w:r>
      <w:bookmarkEnd w:id="36"/>
      <w:bookmarkEnd w:id="37"/>
    </w:p>
    <w:p>
      <w:pPr>
        <w:pStyle w:val="2"/>
        <w:spacing w:before="93"/>
      </w:pPr>
      <w:r>
        <w:drawing>
          <wp:inline distT="0" distB="0" distL="0" distR="0">
            <wp:extent cx="5274310" cy="2792095"/>
            <wp:effectExtent l="57150" t="0" r="40640" b="46240"/>
            <wp:docPr id="3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rPr>
          <w:rFonts w:ascii="黑体" w:eastAsia="黑体"/>
          <w:sz w:val="32"/>
          <w:szCs w:val="32"/>
        </w:rPr>
      </w:pPr>
      <w:r>
        <w:rPr>
          <w:rFonts w:hint="eastAsia" w:ascii="仿宋" w:hAnsi="仿宋" w:eastAsia="仿宋"/>
          <w:sz w:val="32"/>
          <w:szCs w:val="32"/>
        </w:rPr>
        <w:t xml:space="preserve">   （图7：“三公”经费财政拨款支出结构）</w:t>
      </w:r>
      <w:bookmarkStart w:id="38" w:name="_Toc15396610"/>
      <w:bookmarkStart w:id="39" w:name="_Toc15377218"/>
    </w:p>
    <w:p>
      <w:pPr>
        <w:spacing w:line="600" w:lineRule="exact"/>
        <w:ind w:firstLine="640"/>
        <w:outlineLvl w:val="1"/>
        <w:rPr>
          <w:rStyle w:val="26"/>
          <w:rFonts w:ascii="黑体" w:hAnsi="黑体" w:eastAsia="黑体"/>
        </w:rPr>
      </w:pPr>
      <w:r>
        <w:rPr>
          <w:rFonts w:hint="eastAsia" w:ascii="黑体" w:eastAsia="黑体"/>
          <w:sz w:val="32"/>
          <w:szCs w:val="32"/>
        </w:rPr>
        <w:t>八、</w:t>
      </w:r>
      <w:r>
        <w:rPr>
          <w:rStyle w:val="26"/>
          <w:rFonts w:hint="eastAsia" w:ascii="黑体" w:hAnsi="黑体" w:eastAsia="黑体"/>
          <w:b w:val="0"/>
        </w:rPr>
        <w:t>政府性基金预算支出决算情况说明</w:t>
      </w:r>
      <w:bookmarkEnd w:id="38"/>
      <w:bookmarkEnd w:id="39"/>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2"/>
        </w:numPr>
        <w:spacing w:line="600" w:lineRule="exact"/>
        <w:ind w:firstLine="640"/>
        <w:outlineLvl w:val="1"/>
        <w:rPr>
          <w:rStyle w:val="26"/>
          <w:rFonts w:ascii="黑体" w:hAnsi="黑体" w:eastAsia="黑体"/>
          <w:b w:val="0"/>
        </w:rPr>
      </w:pPr>
      <w:bookmarkStart w:id="40" w:name="_Toc15377219"/>
      <w:bookmarkStart w:id="41" w:name="_Toc15396611"/>
      <w:r>
        <w:rPr>
          <w:rStyle w:val="26"/>
          <w:rFonts w:hint="eastAsia" w:ascii="黑体" w:hAnsi="黑体" w:eastAsia="黑体"/>
          <w:b w:val="0"/>
        </w:rPr>
        <w:t>国有资本经营预算支出决算情况说明</w:t>
      </w:r>
      <w:bookmarkEnd w:id="40"/>
      <w:bookmarkEnd w:id="41"/>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21年国有资本经营预算财政拨款支出0万元。</w:t>
      </w:r>
    </w:p>
    <w:p>
      <w:pPr>
        <w:numPr>
          <w:ilvl w:val="0"/>
          <w:numId w:val="2"/>
        </w:numPr>
        <w:spacing w:line="600" w:lineRule="exact"/>
        <w:ind w:firstLine="640"/>
        <w:outlineLvl w:val="1"/>
        <w:rPr>
          <w:rStyle w:val="26"/>
          <w:rFonts w:ascii="黑体" w:hAnsi="黑体" w:eastAsia="黑体"/>
          <w:b w:val="0"/>
        </w:rPr>
      </w:pPr>
      <w:bookmarkStart w:id="42" w:name="_Toc15377221"/>
      <w:bookmarkStart w:id="43" w:name="_Toc15396612"/>
      <w:r>
        <w:rPr>
          <w:rStyle w:val="26"/>
          <w:rFonts w:hint="eastAsia" w:ascii="黑体" w:hAnsi="黑体" w:eastAsia="黑体"/>
          <w:b w:val="0"/>
        </w:rPr>
        <w:t>其他重要事项的情况说明</w:t>
      </w:r>
      <w:bookmarkEnd w:id="42"/>
      <w:bookmarkEnd w:id="43"/>
    </w:p>
    <w:p>
      <w:pPr>
        <w:spacing w:line="600" w:lineRule="exact"/>
        <w:ind w:firstLine="643" w:firstLineChars="200"/>
        <w:outlineLvl w:val="2"/>
        <w:rPr>
          <w:rFonts w:ascii="仿宋" w:hAnsi="仿宋" w:eastAsia="仿宋"/>
          <w:sz w:val="32"/>
          <w:szCs w:val="32"/>
        </w:rPr>
      </w:pPr>
      <w:bookmarkStart w:id="44" w:name="_Toc15377222"/>
      <w:r>
        <w:rPr>
          <w:rFonts w:hint="eastAsia" w:ascii="仿宋" w:hAnsi="仿宋" w:eastAsia="仿宋"/>
          <w:b/>
          <w:sz w:val="32"/>
          <w:szCs w:val="32"/>
        </w:rPr>
        <w:t>（一）机关运行经费支出情况</w:t>
      </w:r>
      <w:bookmarkEnd w:id="44"/>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21年机关运行经费支出0万元，与</w:t>
      </w:r>
      <w:r>
        <w:rPr>
          <w:rFonts w:ascii="仿宋_GB2312" w:eastAsia="仿宋_GB2312"/>
          <w:sz w:val="32"/>
          <w:szCs w:val="32"/>
        </w:rPr>
        <w:t>20</w:t>
      </w:r>
      <w:r>
        <w:rPr>
          <w:rFonts w:hint="eastAsia" w:ascii="仿宋_GB2312" w:eastAsia="仿宋_GB2312"/>
          <w:sz w:val="32"/>
          <w:szCs w:val="32"/>
        </w:rPr>
        <w:t>20年决算数持平。</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5" w:name="_Toc15377223"/>
      <w:r>
        <w:rPr>
          <w:rFonts w:hint="eastAsia" w:ascii="仿宋" w:hAnsi="仿宋" w:eastAsia="仿宋"/>
          <w:b/>
          <w:sz w:val="32"/>
          <w:szCs w:val="32"/>
        </w:rPr>
        <w:t>（二）政府采购支出情况</w:t>
      </w:r>
      <w:bookmarkEnd w:id="45"/>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21年，乐山市</w:t>
      </w:r>
      <w:r>
        <w:rPr>
          <w:rFonts w:hint="eastAsia" w:ascii="仿宋_GB2312" w:eastAsia="仿宋_GB2312"/>
          <w:sz w:val="32"/>
          <w:szCs w:val="32"/>
          <w:lang w:eastAsia="zh-CN"/>
        </w:rPr>
        <w:t>县街</w:t>
      </w:r>
      <w:r>
        <w:rPr>
          <w:rFonts w:hint="eastAsia" w:ascii="仿宋_GB2312" w:eastAsia="仿宋_GB2312"/>
          <w:sz w:val="32"/>
          <w:szCs w:val="32"/>
        </w:rPr>
        <w:t>小学政府采购支出总额</w:t>
      </w:r>
      <w:r>
        <w:rPr>
          <w:rFonts w:hint="eastAsia" w:ascii="仿宋_GB2312" w:eastAsia="仿宋_GB2312"/>
          <w:sz w:val="32"/>
          <w:szCs w:val="32"/>
          <w:lang w:val="en-US" w:eastAsia="zh-CN"/>
        </w:rPr>
        <w:t>94.11</w:t>
      </w:r>
      <w:r>
        <w:rPr>
          <w:rFonts w:hint="eastAsia" w:ascii="仿宋_GB2312" w:eastAsia="仿宋_GB2312"/>
          <w:sz w:val="32"/>
          <w:szCs w:val="32"/>
        </w:rPr>
        <w:t>万元，其中：政府采购</w:t>
      </w:r>
      <w:r>
        <w:rPr>
          <w:rFonts w:hint="eastAsia" w:ascii="仿宋_GB2312" w:eastAsia="仿宋_GB2312"/>
          <w:sz w:val="32"/>
          <w:szCs w:val="32"/>
          <w:lang w:eastAsia="zh-CN"/>
        </w:rPr>
        <w:t>校舍维修及运动场改造</w:t>
      </w:r>
      <w:r>
        <w:rPr>
          <w:rFonts w:hint="eastAsia" w:ascii="仿宋_GB2312" w:eastAsia="仿宋_GB2312"/>
          <w:sz w:val="32"/>
          <w:szCs w:val="32"/>
        </w:rPr>
        <w:t>支出</w:t>
      </w:r>
      <w:r>
        <w:rPr>
          <w:rFonts w:hint="eastAsia" w:ascii="仿宋_GB2312" w:eastAsia="仿宋_GB2312"/>
          <w:sz w:val="32"/>
          <w:szCs w:val="32"/>
          <w:lang w:val="en-US" w:eastAsia="zh-CN"/>
        </w:rPr>
        <w:t>94.11</w:t>
      </w:r>
      <w:r>
        <w:rPr>
          <w:rFonts w:hint="eastAsia" w:ascii="仿宋_GB2312" w:eastAsia="仿宋_GB2312"/>
          <w:sz w:val="32"/>
          <w:szCs w:val="32"/>
        </w:rPr>
        <w:t>万元。主授予中小企业合同金额</w:t>
      </w:r>
      <w:r>
        <w:rPr>
          <w:rFonts w:hint="eastAsia" w:ascii="仿宋_GB2312" w:eastAsia="仿宋_GB2312"/>
          <w:sz w:val="32"/>
          <w:szCs w:val="32"/>
          <w:lang w:val="en-US" w:eastAsia="zh-CN"/>
        </w:rPr>
        <w:t>94.11</w:t>
      </w:r>
      <w:r>
        <w:rPr>
          <w:rFonts w:hint="eastAsia" w:ascii="仿宋_GB2312" w:eastAsia="仿宋_GB2312"/>
          <w:sz w:val="32"/>
          <w:szCs w:val="32"/>
        </w:rPr>
        <w:t>万元，占政府采购支出总额的100</w:t>
      </w:r>
      <w:r>
        <w:rPr>
          <w:rFonts w:ascii="仿宋_GB2312" w:eastAsia="仿宋_GB2312"/>
          <w:sz w:val="32"/>
          <w:szCs w:val="32"/>
        </w:rPr>
        <w:t>%</w:t>
      </w:r>
      <w:r>
        <w:rPr>
          <w:rFonts w:hint="eastAsia" w:ascii="仿宋_GB2312" w:eastAsia="仿宋_GB2312"/>
          <w:sz w:val="32"/>
          <w:szCs w:val="32"/>
        </w:rPr>
        <w:t>。</w:t>
      </w:r>
      <w:r>
        <w:rPr>
          <w:rFonts w:ascii="仿宋_GB2312" w:eastAsia="仿宋_GB2312"/>
          <w:sz w:val="32"/>
          <w:szCs w:val="32"/>
        </w:rPr>
        <w:t xml:space="preserve"> </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6" w:name="_Toc15377224"/>
      <w:r>
        <w:rPr>
          <w:rFonts w:hint="eastAsia" w:ascii="仿宋" w:hAnsi="仿宋" w:eastAsia="仿宋"/>
          <w:b/>
          <w:sz w:val="32"/>
          <w:szCs w:val="32"/>
        </w:rPr>
        <w:t>（三）国有资产占有使用情况</w:t>
      </w:r>
      <w:bookmarkEnd w:id="46"/>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21年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日，乐山市城北小学共有车辆0辆，单价</w:t>
      </w:r>
      <w:r>
        <w:rPr>
          <w:rFonts w:ascii="仿宋_GB2312" w:eastAsia="仿宋_GB2312"/>
          <w:sz w:val="32"/>
          <w:szCs w:val="32"/>
        </w:rPr>
        <w:t>50</w:t>
      </w:r>
      <w:r>
        <w:rPr>
          <w:rFonts w:hint="eastAsia" w:ascii="仿宋_GB2312" w:eastAsia="仿宋_GB2312"/>
          <w:sz w:val="32"/>
          <w:szCs w:val="32"/>
        </w:rPr>
        <w:t>万元以上通用设备0台（套），单价</w:t>
      </w:r>
      <w:r>
        <w:rPr>
          <w:rFonts w:ascii="仿宋_GB2312" w:eastAsia="仿宋_GB2312"/>
          <w:sz w:val="32"/>
          <w:szCs w:val="32"/>
        </w:rPr>
        <w:t>100</w:t>
      </w:r>
      <w:r>
        <w:rPr>
          <w:rFonts w:hint="eastAsia" w:ascii="仿宋_GB2312" w:eastAsia="仿宋_GB2312"/>
          <w:sz w:val="32"/>
          <w:szCs w:val="32"/>
        </w:rPr>
        <w:t>万元以上专用设备0台（套）。</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根据预算绩效管理要求，本单位在年初预算编制阶段，组织对校园安保、中小学</w:t>
      </w:r>
      <w:r>
        <w:rPr>
          <w:rFonts w:ascii="仿宋_GB2312" w:hAnsi="仿宋_GB2312" w:eastAsia="仿宋_GB2312" w:cs="仿宋_GB2312"/>
          <w:sz w:val="32"/>
          <w:szCs w:val="32"/>
        </w:rPr>
        <w:t>聘</w:t>
      </w:r>
      <w:r>
        <w:rPr>
          <w:rFonts w:hint="eastAsia" w:ascii="仿宋_GB2312" w:hAnsi="仿宋_GB2312" w:eastAsia="仿宋_GB2312" w:cs="仿宋_GB2312"/>
          <w:sz w:val="32"/>
          <w:szCs w:val="32"/>
        </w:rPr>
        <w:t>用教师、202</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年作业本费</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个项目编制了绩效目标，预算执行过程中，选取2个项目开展绩效监控，年终执行完毕后，对2个项目开展了绩效目标完成情况自评。</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本单位按要求对2021年部门整体支出开展绩效自评，从评价情况来看预决算编制合理，支出高效，进度执行规范。财政支出既保障本园正常运转，又保证了重点项目开支，财政支出绩效良好。</w:t>
      </w:r>
    </w:p>
    <w:p>
      <w:pPr>
        <w:numPr>
          <w:ilvl w:val="0"/>
          <w:numId w:val="3"/>
        </w:numPr>
        <w:spacing w:line="58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项目绩效目标完成情况。</w:t>
      </w:r>
    </w:p>
    <w:p>
      <w:pPr>
        <w:numPr>
          <w:ilvl w:val="0"/>
          <w:numId w:val="3"/>
        </w:num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本部门在</w:t>
      </w:r>
      <w:r>
        <w:rPr>
          <w:rFonts w:ascii="仿宋_GB2312" w:hAnsi="仿宋_GB2312" w:eastAsia="仿宋_GB2312" w:cs="仿宋_GB2312"/>
          <w:sz w:val="32"/>
          <w:szCs w:val="32"/>
        </w:rPr>
        <w:t>202</w:t>
      </w:r>
      <w:r>
        <w:rPr>
          <w:rFonts w:hint="eastAsia" w:ascii="仿宋_GB2312" w:hAnsi="仿宋_GB2312" w:eastAsia="仿宋_GB2312" w:cs="仿宋_GB2312"/>
          <w:sz w:val="32"/>
          <w:szCs w:val="32"/>
        </w:rPr>
        <w:t>1年度部门决算中反映“校园安保</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 中小学</w:t>
      </w:r>
      <w:r>
        <w:rPr>
          <w:rFonts w:ascii="仿宋_GB2312" w:hAnsi="仿宋_GB2312" w:eastAsia="仿宋_GB2312" w:cs="仿宋_GB2312"/>
          <w:sz w:val="32"/>
          <w:szCs w:val="32"/>
        </w:rPr>
        <w:t>聘</w:t>
      </w:r>
      <w:r>
        <w:rPr>
          <w:rFonts w:hint="eastAsia" w:ascii="仿宋_GB2312" w:hAnsi="仿宋_GB2312" w:eastAsia="仿宋_GB2312" w:cs="仿宋_GB2312"/>
          <w:sz w:val="32"/>
          <w:szCs w:val="32"/>
        </w:rPr>
        <w:t>用教师”2个项目绩效目标实际完成情况。</w:t>
      </w:r>
    </w:p>
    <w:p>
      <w:pPr>
        <w:numPr>
          <w:ilvl w:val="0"/>
          <w:numId w:val="4"/>
        </w:numPr>
        <w:spacing w:line="580" w:lineRule="exact"/>
        <w:ind w:firstLine="640" w:firstLineChars="200"/>
      </w:pPr>
      <w:r>
        <w:rPr>
          <w:rFonts w:hint="eastAsia" w:ascii="仿宋_GB2312" w:hAnsi="仿宋_GB2312" w:eastAsia="仿宋_GB2312" w:cs="仿宋_GB2312"/>
          <w:sz w:val="32"/>
          <w:szCs w:val="32"/>
        </w:rPr>
        <w:t>校园安保项目绩效目标完成情况综述。项目全年预算数</w:t>
      </w:r>
      <w:r>
        <w:rPr>
          <w:rFonts w:hint="eastAsia" w:ascii="仿宋_GB2312" w:hAnsi="仿宋_GB2312" w:eastAsia="仿宋_GB2312" w:cs="仿宋_GB2312"/>
          <w:sz w:val="32"/>
          <w:szCs w:val="32"/>
          <w:lang w:val="en-US" w:eastAsia="zh-CN"/>
        </w:rPr>
        <w:t>19.098</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19.098</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%。通过项目实施，保障确保安保人员到岗到位，确保安保经费足额按时发放，确保广大师生生命安全和校园财产安全。</w:t>
      </w:r>
    </w:p>
    <w:p>
      <w:pPr>
        <w:pStyle w:val="2"/>
        <w:spacing w:before="93"/>
      </w:pPr>
      <w:r>
        <w:rPr>
          <w:rFonts w:hint="eastAsia" w:hAnsi="仿宋_GB2312" w:cs="仿宋_GB2312"/>
          <w:sz w:val="32"/>
          <w:szCs w:val="32"/>
        </w:rPr>
        <w:t xml:space="preserve">   （2）中小学</w:t>
      </w:r>
      <w:r>
        <w:rPr>
          <w:rFonts w:hAnsi="仿宋_GB2312" w:cs="仿宋_GB2312"/>
          <w:sz w:val="32"/>
          <w:szCs w:val="32"/>
        </w:rPr>
        <w:t>聘</w:t>
      </w:r>
      <w:r>
        <w:rPr>
          <w:rFonts w:hint="eastAsia" w:hAnsi="仿宋_GB2312" w:cs="仿宋_GB2312"/>
          <w:sz w:val="32"/>
          <w:szCs w:val="32"/>
        </w:rPr>
        <w:t>用教师项目绩效目标完成情况综述。项目全年预算数7</w:t>
      </w:r>
      <w:r>
        <w:rPr>
          <w:rFonts w:hint="eastAsia" w:hAnsi="仿宋_GB2312" w:cs="仿宋_GB2312"/>
          <w:sz w:val="32"/>
          <w:szCs w:val="32"/>
          <w:lang w:val="en-US" w:eastAsia="zh-CN"/>
        </w:rPr>
        <w:t>0.47</w:t>
      </w:r>
      <w:r>
        <w:rPr>
          <w:rFonts w:hint="eastAsia" w:hAnsi="仿宋_GB2312" w:cs="仿宋_GB2312"/>
          <w:sz w:val="32"/>
          <w:szCs w:val="32"/>
        </w:rPr>
        <w:t>万元，执行数为</w:t>
      </w:r>
      <w:r>
        <w:rPr>
          <w:rFonts w:hint="eastAsia" w:hAnsi="仿宋_GB2312" w:cs="仿宋_GB2312"/>
          <w:sz w:val="32"/>
          <w:szCs w:val="32"/>
          <w:lang w:val="en-US" w:eastAsia="zh-CN"/>
        </w:rPr>
        <w:t>70.47</w:t>
      </w:r>
      <w:r>
        <w:rPr>
          <w:rFonts w:hint="eastAsia" w:hAnsi="仿宋_GB2312" w:cs="仿宋_GB2312"/>
          <w:sz w:val="32"/>
          <w:szCs w:val="32"/>
        </w:rPr>
        <w:t>万元，完成预算的</w:t>
      </w:r>
      <w:r>
        <w:rPr>
          <w:rFonts w:hint="eastAsia" w:hAnsi="仿宋_GB2312" w:cs="仿宋_GB2312"/>
          <w:sz w:val="32"/>
          <w:szCs w:val="32"/>
          <w:lang w:val="en-US" w:eastAsia="zh-CN"/>
        </w:rPr>
        <w:t>70.47</w:t>
      </w:r>
      <w:r>
        <w:rPr>
          <w:rFonts w:hint="eastAsia" w:hAnsi="仿宋_GB2312" w:cs="仿宋_GB2312"/>
          <w:sz w:val="32"/>
          <w:szCs w:val="32"/>
        </w:rPr>
        <w:t>%。通过项目实施，保障确中小学</w:t>
      </w:r>
      <w:r>
        <w:rPr>
          <w:rFonts w:hAnsi="仿宋_GB2312" w:cs="仿宋_GB2312"/>
          <w:sz w:val="32"/>
          <w:szCs w:val="32"/>
        </w:rPr>
        <w:t>聘</w:t>
      </w:r>
      <w:r>
        <w:rPr>
          <w:rFonts w:hint="eastAsia" w:hAnsi="仿宋_GB2312" w:cs="仿宋_GB2312"/>
          <w:sz w:val="32"/>
          <w:szCs w:val="32"/>
        </w:rPr>
        <w:t>用教师到岗到位，确保中小学</w:t>
      </w:r>
      <w:r>
        <w:rPr>
          <w:rFonts w:hAnsi="仿宋_GB2312" w:cs="仿宋_GB2312"/>
          <w:sz w:val="32"/>
          <w:szCs w:val="32"/>
        </w:rPr>
        <w:t>聘</w:t>
      </w:r>
      <w:r>
        <w:rPr>
          <w:rFonts w:hint="eastAsia" w:hAnsi="仿宋_GB2312" w:cs="仿宋_GB2312"/>
          <w:sz w:val="32"/>
          <w:szCs w:val="32"/>
        </w:rPr>
        <w:t>用教师经费足额按时发放，确保教学工作顺利进行。</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2021年特定目标类部门预算项目绩效目标自评表见附件（第四部分）。</w:t>
      </w:r>
    </w:p>
    <w:p>
      <w:pPr>
        <w:autoSpaceDE w:val="0"/>
        <w:autoSpaceDN w:val="0"/>
        <w:adjustRightInd w:val="0"/>
        <w:spacing w:line="600" w:lineRule="exact"/>
        <w:ind w:firstLine="643" w:firstLineChars="200"/>
        <w:rPr>
          <w:rFonts w:ascii="仿宋" w:hAnsi="仿宋" w:eastAsia="仿宋"/>
          <w:b/>
          <w:sz w:val="32"/>
          <w:szCs w:val="32"/>
        </w:rPr>
      </w:pPr>
      <w:r>
        <w:rPr>
          <w:rFonts w:hint="eastAsia" w:ascii="仿宋" w:hAnsi="仿宋" w:eastAsia="仿宋"/>
          <w:b/>
          <w:sz w:val="32"/>
          <w:szCs w:val="32"/>
        </w:rPr>
        <w:t>（注：单位</w:t>
      </w:r>
      <w:r>
        <w:rPr>
          <w:rFonts w:hint="eastAsia" w:ascii="仿宋_GB2312" w:hAnsi="仿宋_GB2312" w:eastAsia="仿宋_GB2312" w:cs="仿宋_GB2312"/>
          <w:b/>
          <w:sz w:val="32"/>
          <w:szCs w:val="32"/>
        </w:rPr>
        <w:t>2021年特定目标类部门预算项目绩效目标自评表为本部门2021年部门整体支出绩效评价报告中涉及本单位的附表</w:t>
      </w:r>
      <w:r>
        <w:rPr>
          <w:rFonts w:hint="eastAsia" w:ascii="仿宋" w:hAnsi="仿宋" w:eastAsia="仿宋"/>
          <w:b/>
          <w:sz w:val="32"/>
          <w:szCs w:val="32"/>
        </w:rPr>
        <w:t>）</w:t>
      </w:r>
    </w:p>
    <w:p>
      <w:pPr>
        <w:pStyle w:val="2"/>
        <w:spacing w:before="93"/>
        <w:rPr>
          <w:highlight w:val="yellow"/>
        </w:rPr>
      </w:pP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5"/>
        </w:numPr>
        <w:spacing w:line="600" w:lineRule="exact"/>
        <w:ind w:firstLine="660" w:firstLineChars="150"/>
        <w:jc w:val="center"/>
        <w:outlineLvl w:val="0"/>
        <w:rPr>
          <w:rStyle w:val="25"/>
          <w:rFonts w:ascii="黑体" w:hAnsi="黑体" w:eastAsia="黑体"/>
          <w:b w:val="0"/>
        </w:rPr>
      </w:pPr>
      <w:bookmarkStart w:id="47" w:name="_Toc15377225"/>
      <w:bookmarkStart w:id="48" w:name="_Toc15396613"/>
      <w:r>
        <w:rPr>
          <w:rFonts w:hint="eastAsia" w:ascii="黑体" w:hAnsi="黑体" w:eastAsia="黑体"/>
          <w:sz w:val="44"/>
          <w:szCs w:val="44"/>
        </w:rPr>
        <w:t>名</w:t>
      </w:r>
      <w:r>
        <w:rPr>
          <w:rStyle w:val="25"/>
          <w:rFonts w:hint="eastAsia" w:ascii="黑体" w:hAnsi="黑体" w:eastAsia="黑体"/>
          <w:b w:val="0"/>
        </w:rPr>
        <w:t>词解释</w:t>
      </w:r>
      <w:bookmarkEnd w:id="47"/>
      <w:bookmarkEnd w:id="48"/>
    </w:p>
    <w:p>
      <w:pPr>
        <w:spacing w:line="600" w:lineRule="exact"/>
        <w:jc w:val="left"/>
        <w:rPr>
          <w:rFonts w:ascii="宋体"/>
          <w:b/>
          <w:sz w:val="44"/>
          <w:szCs w:val="44"/>
        </w:rPr>
      </w:pPr>
    </w:p>
    <w:p>
      <w:pPr>
        <w:pStyle w:val="23"/>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1.财政拨款收入：指省级财政当年拨付的资金。 </w:t>
      </w:r>
    </w:p>
    <w:p>
      <w:pPr>
        <w:pStyle w:val="23"/>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2.事业</w:t>
      </w:r>
      <w:r>
        <w:rPr>
          <w:rFonts w:ascii="Times New Roman" w:hAnsi="Times New Roman" w:eastAsia="仿宋_GB2312" w:cs="Times New Roman"/>
          <w:color w:val="auto"/>
          <w:sz w:val="32"/>
          <w:szCs w:val="32"/>
        </w:rPr>
        <w:t>收入：指事业单位开展专业业务活动及辅助活动所取得的收入。如学校根据国家有关部门批准的项目和标准收取的学费、住宿费等。</w:t>
      </w:r>
    </w:p>
    <w:p>
      <w:pPr>
        <w:pStyle w:val="23"/>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 xml:space="preserve">3.其他收入：指除上述“财政拨款收入”、“事业收入”、“经营收入”等以外的收入。主要是捐赠收入、利息收入等。 </w:t>
      </w:r>
    </w:p>
    <w:p>
      <w:pPr>
        <w:pStyle w:val="23"/>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color w:val="auto"/>
          <w:sz w:val="32"/>
          <w:szCs w:val="32"/>
        </w:rPr>
        <w:t>4.用事业基金弥补收支差额：指事业单位在当年的“财政拨款收入”、“事业收入”、“经营收入”、“其他收入”不足以安排当年支出的情况下，使用以前年度积累的事业基金（</w:t>
      </w:r>
      <w:r>
        <w:rPr>
          <w:rFonts w:ascii="Times New Roman" w:hAnsi="Times New Roman" w:eastAsia="仿宋_GB2312" w:cs="Times New Roman"/>
          <w:sz w:val="32"/>
          <w:szCs w:val="32"/>
        </w:rPr>
        <w:t xml:space="preserve">事业单位当年收支相抵后按国家规定提取、用于弥补以后年度收支差额的基金）弥补本年度收支缺口的资金。 </w:t>
      </w:r>
    </w:p>
    <w:p>
      <w:pPr>
        <w:pStyle w:val="23"/>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5.年初结转和结余：指以前年度尚未完成、结转到本年按有关规定继续使用的资金。 </w:t>
      </w:r>
    </w:p>
    <w:p>
      <w:pPr>
        <w:spacing w:line="600" w:lineRule="exact"/>
        <w:ind w:firstLine="640" w:firstLineChars="200"/>
        <w:rPr>
          <w:rFonts w:eastAsia="仿宋_GB2312"/>
          <w:color w:val="000000"/>
          <w:sz w:val="32"/>
          <w:szCs w:val="32"/>
        </w:rPr>
      </w:pPr>
      <w:r>
        <w:rPr>
          <w:rFonts w:eastAsia="仿宋_GB2312"/>
          <w:color w:val="000000"/>
          <w:sz w:val="32"/>
          <w:szCs w:val="32"/>
        </w:rPr>
        <w:t>6.一般公共服务（类）组织事务（款）其他组织事务支出（项）:指其他用于组织事务方面的支出。</w:t>
      </w:r>
    </w:p>
    <w:p>
      <w:pPr>
        <w:spacing w:line="600" w:lineRule="exact"/>
        <w:ind w:firstLine="640" w:firstLineChars="200"/>
        <w:rPr>
          <w:rFonts w:eastAsia="仿宋_GB2312"/>
          <w:color w:val="000000"/>
          <w:sz w:val="32"/>
          <w:szCs w:val="32"/>
        </w:rPr>
      </w:pPr>
      <w:r>
        <w:rPr>
          <w:rFonts w:eastAsia="仿宋_GB2312"/>
          <w:color w:val="000000"/>
          <w:sz w:val="32"/>
          <w:szCs w:val="32"/>
        </w:rPr>
        <w:t>7.教育（类）教育管理事务（款）行政运行（项）:指行政单位的基本支出。 </w:t>
      </w:r>
    </w:p>
    <w:p>
      <w:pPr>
        <w:spacing w:line="600" w:lineRule="exact"/>
        <w:ind w:firstLine="640" w:firstLineChars="200"/>
        <w:rPr>
          <w:rFonts w:eastAsia="仿宋_GB2312"/>
          <w:color w:val="000000"/>
          <w:sz w:val="32"/>
          <w:szCs w:val="32"/>
        </w:rPr>
      </w:pPr>
      <w:r>
        <w:rPr>
          <w:rFonts w:eastAsia="仿宋_GB2312"/>
          <w:color w:val="000000"/>
          <w:sz w:val="32"/>
          <w:szCs w:val="32"/>
        </w:rPr>
        <w:t>8.教育（类）教育管理事务（款）其他教育管理事务支出（项）:指反映除上述项目以外其他用于教育管理事务方面的支出。</w:t>
      </w:r>
    </w:p>
    <w:p>
      <w:pPr>
        <w:spacing w:line="600" w:lineRule="exact"/>
        <w:ind w:firstLine="640" w:firstLineChars="200"/>
        <w:rPr>
          <w:rFonts w:eastAsia="仿宋_GB2312"/>
          <w:color w:val="000000"/>
          <w:sz w:val="32"/>
          <w:szCs w:val="32"/>
        </w:rPr>
      </w:pPr>
      <w:r>
        <w:rPr>
          <w:rFonts w:eastAsia="仿宋_GB2312"/>
          <w:color w:val="000000"/>
          <w:sz w:val="32"/>
          <w:szCs w:val="32"/>
        </w:rPr>
        <w:t>9.教育（类）普通教育（款）学前教育（项）:指乐山市市中区教育局举办的学前教育支出。</w:t>
      </w:r>
    </w:p>
    <w:p>
      <w:pPr>
        <w:spacing w:line="600" w:lineRule="exact"/>
        <w:ind w:firstLine="640" w:firstLineChars="200"/>
        <w:rPr>
          <w:rFonts w:eastAsia="仿宋_GB2312"/>
          <w:color w:val="000000"/>
          <w:sz w:val="32"/>
          <w:szCs w:val="32"/>
        </w:rPr>
      </w:pPr>
      <w:r>
        <w:rPr>
          <w:rFonts w:eastAsia="仿宋_GB2312"/>
          <w:color w:val="000000"/>
          <w:sz w:val="32"/>
          <w:szCs w:val="32"/>
        </w:rPr>
        <w:t>10.教育（类）普通教育（款）小学教育（项）:指乐山市市中区教育局举办的小学教育支出。</w:t>
      </w:r>
    </w:p>
    <w:p>
      <w:pPr>
        <w:spacing w:line="600" w:lineRule="exact"/>
        <w:ind w:firstLine="640" w:firstLineChars="200"/>
        <w:rPr>
          <w:rFonts w:eastAsia="仿宋_GB2312"/>
          <w:color w:val="000000"/>
          <w:sz w:val="32"/>
          <w:szCs w:val="32"/>
        </w:rPr>
      </w:pPr>
      <w:r>
        <w:rPr>
          <w:rFonts w:eastAsia="仿宋_GB2312"/>
          <w:color w:val="000000"/>
          <w:sz w:val="32"/>
          <w:szCs w:val="32"/>
        </w:rPr>
        <w:t>11.教育（类）普通教育（款）初中教育（项）:指乐山市市中区教育局举办的初中教育支出。</w:t>
      </w:r>
    </w:p>
    <w:p>
      <w:pPr>
        <w:spacing w:line="600" w:lineRule="exact"/>
        <w:ind w:firstLine="640" w:firstLineChars="200"/>
        <w:rPr>
          <w:rFonts w:eastAsia="仿宋_GB2312"/>
          <w:color w:val="000000"/>
          <w:sz w:val="32"/>
          <w:szCs w:val="32"/>
        </w:rPr>
      </w:pPr>
      <w:r>
        <w:rPr>
          <w:rFonts w:eastAsia="仿宋_GB2312"/>
          <w:color w:val="000000"/>
          <w:sz w:val="32"/>
          <w:szCs w:val="32"/>
        </w:rPr>
        <w:t>12.教育（类）普通教育（款）高中教育（项）:指乐山市市中区教育局举办的高中教育支出。</w:t>
      </w:r>
    </w:p>
    <w:p>
      <w:pPr>
        <w:spacing w:line="600" w:lineRule="exact"/>
        <w:ind w:firstLine="640" w:firstLineChars="200"/>
        <w:rPr>
          <w:rFonts w:eastAsia="仿宋_GB2312"/>
          <w:color w:val="000000"/>
          <w:sz w:val="32"/>
          <w:szCs w:val="32"/>
        </w:rPr>
      </w:pPr>
      <w:r>
        <w:rPr>
          <w:rFonts w:eastAsia="仿宋_GB2312"/>
          <w:color w:val="000000"/>
          <w:sz w:val="32"/>
          <w:szCs w:val="32"/>
        </w:rPr>
        <w:t>13.教育（类）普通教育（款）高等教育（项）:指乐山市市中区教育局举办的高等教育支出。</w:t>
      </w:r>
    </w:p>
    <w:p>
      <w:pPr>
        <w:spacing w:line="600" w:lineRule="exact"/>
        <w:ind w:firstLine="640" w:firstLineChars="200"/>
        <w:rPr>
          <w:rFonts w:eastAsia="仿宋_GB2312"/>
          <w:color w:val="000000"/>
          <w:sz w:val="32"/>
          <w:szCs w:val="32"/>
        </w:rPr>
      </w:pPr>
      <w:r>
        <w:rPr>
          <w:rFonts w:eastAsia="仿宋_GB2312"/>
          <w:color w:val="000000"/>
          <w:sz w:val="32"/>
          <w:szCs w:val="32"/>
        </w:rPr>
        <w:t>14.教育（类）普通教育（款）其他普通教育支出（项）:指除学前教育、小学教育、初中教育、高等教育等以外其他用于普通教育方面的支出。 </w:t>
      </w:r>
    </w:p>
    <w:p>
      <w:pPr>
        <w:spacing w:line="600" w:lineRule="exact"/>
        <w:ind w:firstLine="640" w:firstLineChars="200"/>
        <w:rPr>
          <w:rFonts w:eastAsia="仿宋_GB2312"/>
          <w:color w:val="000000"/>
          <w:sz w:val="32"/>
          <w:szCs w:val="32"/>
        </w:rPr>
      </w:pPr>
      <w:r>
        <w:rPr>
          <w:rFonts w:eastAsia="仿宋_GB2312"/>
          <w:color w:val="000000"/>
          <w:sz w:val="32"/>
          <w:szCs w:val="32"/>
        </w:rPr>
        <w:t>15.教育（类）职业教育（款）中专教育（项）:指乐山市市中区教育局举办的中等专业教育支出。</w:t>
      </w:r>
    </w:p>
    <w:p>
      <w:pPr>
        <w:spacing w:line="600" w:lineRule="exact"/>
        <w:ind w:firstLine="640" w:firstLineChars="200"/>
        <w:rPr>
          <w:rFonts w:eastAsia="仿宋_GB2312"/>
          <w:color w:val="000000"/>
          <w:sz w:val="32"/>
          <w:szCs w:val="32"/>
        </w:rPr>
      </w:pPr>
      <w:r>
        <w:rPr>
          <w:rFonts w:eastAsia="仿宋_GB2312"/>
          <w:color w:val="000000"/>
          <w:sz w:val="32"/>
          <w:szCs w:val="32"/>
        </w:rPr>
        <w:t>16.教育（类）职业教育（款）职业高中教育（项）:指乐山市市中区教育局举办的职业中学教育支出。</w:t>
      </w:r>
    </w:p>
    <w:p>
      <w:pPr>
        <w:spacing w:line="600" w:lineRule="exact"/>
        <w:ind w:firstLine="640" w:firstLineChars="200"/>
        <w:rPr>
          <w:rFonts w:eastAsia="仿宋_GB2312"/>
          <w:color w:val="000000"/>
          <w:sz w:val="32"/>
          <w:szCs w:val="32"/>
        </w:rPr>
      </w:pPr>
      <w:r>
        <w:rPr>
          <w:rFonts w:eastAsia="仿宋_GB2312"/>
          <w:color w:val="000000"/>
          <w:sz w:val="32"/>
          <w:szCs w:val="32"/>
        </w:rPr>
        <w:t>17.教育（类）进修及培训（款）教师进修（项）:指反映教师进修、师资培训支出。</w:t>
      </w:r>
    </w:p>
    <w:p>
      <w:pPr>
        <w:spacing w:line="600" w:lineRule="exact"/>
        <w:ind w:firstLine="640" w:firstLineChars="200"/>
        <w:rPr>
          <w:rFonts w:eastAsia="仿宋_GB2312"/>
          <w:color w:val="000000"/>
          <w:sz w:val="32"/>
          <w:szCs w:val="32"/>
        </w:rPr>
      </w:pPr>
      <w:r>
        <w:rPr>
          <w:rFonts w:eastAsia="仿宋_GB2312"/>
          <w:color w:val="000000"/>
          <w:sz w:val="32"/>
          <w:szCs w:val="32"/>
        </w:rPr>
        <w:t>18.教育（类）进修及培训（款）培训支出（项）:指乐山市市中区教育局安排的用于培训的支出。</w:t>
      </w:r>
    </w:p>
    <w:p>
      <w:pPr>
        <w:spacing w:line="600" w:lineRule="exact"/>
        <w:ind w:firstLine="640" w:firstLineChars="200"/>
        <w:rPr>
          <w:rFonts w:eastAsia="仿宋_GB2312"/>
          <w:color w:val="000000"/>
          <w:sz w:val="32"/>
          <w:szCs w:val="32"/>
        </w:rPr>
      </w:pPr>
      <w:r>
        <w:rPr>
          <w:rFonts w:eastAsia="仿宋_GB2312"/>
          <w:color w:val="000000"/>
          <w:sz w:val="32"/>
          <w:szCs w:val="32"/>
        </w:rPr>
        <w:t>19.教育（类）教育费附加安排的支出（款）农村中小学校舍建设（项）:指反映教育附加安排用于农村中小学校舍新建、改建、修缮和维护的支出。</w:t>
      </w:r>
    </w:p>
    <w:p>
      <w:pPr>
        <w:spacing w:line="600" w:lineRule="exact"/>
        <w:ind w:firstLine="640" w:firstLineChars="200"/>
        <w:rPr>
          <w:rFonts w:eastAsia="仿宋_GB2312"/>
          <w:color w:val="000000"/>
          <w:sz w:val="32"/>
          <w:szCs w:val="32"/>
        </w:rPr>
      </w:pPr>
      <w:r>
        <w:rPr>
          <w:rFonts w:eastAsia="仿宋_GB2312"/>
          <w:color w:val="000000"/>
          <w:sz w:val="32"/>
          <w:szCs w:val="32"/>
        </w:rPr>
        <w:t>20.教育（类）教育费附加安排的支出（款）农村中小学教学设施（项）:指教育费附加安排用于改善农村中小学教学设施和办学条件的支出。</w:t>
      </w:r>
    </w:p>
    <w:p>
      <w:pPr>
        <w:spacing w:line="600" w:lineRule="exact"/>
        <w:ind w:firstLine="640" w:firstLineChars="200"/>
        <w:rPr>
          <w:rFonts w:eastAsia="仿宋_GB2312"/>
          <w:color w:val="000000"/>
          <w:sz w:val="32"/>
          <w:szCs w:val="32"/>
        </w:rPr>
      </w:pPr>
      <w:r>
        <w:rPr>
          <w:rFonts w:eastAsia="仿宋_GB2312"/>
          <w:color w:val="000000"/>
          <w:sz w:val="32"/>
          <w:szCs w:val="32"/>
        </w:rPr>
        <w:t>21.教育（类）教育费附加安排的支出（款）城市中小学校舍建设（项）: 指反映教育附加安排用于城市中小学校舍新建、改建、修缮和维护的支出</w:t>
      </w:r>
    </w:p>
    <w:p>
      <w:pPr>
        <w:spacing w:line="600" w:lineRule="exact"/>
        <w:ind w:firstLine="640" w:firstLineChars="200"/>
        <w:rPr>
          <w:rFonts w:eastAsia="仿宋_GB2312"/>
          <w:color w:val="000000"/>
          <w:sz w:val="32"/>
          <w:szCs w:val="32"/>
        </w:rPr>
      </w:pPr>
      <w:r>
        <w:rPr>
          <w:rFonts w:eastAsia="仿宋_GB2312"/>
          <w:color w:val="000000"/>
          <w:sz w:val="32"/>
          <w:szCs w:val="32"/>
        </w:rPr>
        <w:t>22.教育（类）教育费附加安排的支出（款）城市中小学教学设施（项）:指教育费附加安排用于改善城市中小学教学设施和办学条件的支出。 </w:t>
      </w:r>
    </w:p>
    <w:p>
      <w:pPr>
        <w:spacing w:line="600" w:lineRule="exact"/>
        <w:ind w:firstLine="640" w:firstLineChars="200"/>
        <w:rPr>
          <w:rFonts w:eastAsia="仿宋_GB2312"/>
          <w:color w:val="000000"/>
          <w:sz w:val="32"/>
          <w:szCs w:val="32"/>
        </w:rPr>
      </w:pPr>
      <w:r>
        <w:rPr>
          <w:rFonts w:eastAsia="仿宋_GB2312"/>
          <w:color w:val="000000"/>
          <w:sz w:val="32"/>
          <w:szCs w:val="32"/>
        </w:rPr>
        <w:t>23.教育（类）教育费附加安排的支出（款）其他教育费附加安排的支出（项）:指反映除上述项目以外其他用于教育费附加安排方面的支出。 </w:t>
      </w:r>
    </w:p>
    <w:p>
      <w:pPr>
        <w:spacing w:line="600" w:lineRule="exact"/>
        <w:ind w:firstLine="640" w:firstLineChars="200"/>
        <w:rPr>
          <w:rFonts w:eastAsia="仿宋_GB2312"/>
          <w:color w:val="000000"/>
          <w:sz w:val="32"/>
          <w:szCs w:val="32"/>
        </w:rPr>
      </w:pPr>
      <w:r>
        <w:rPr>
          <w:rFonts w:eastAsia="仿宋_GB2312"/>
          <w:color w:val="000000"/>
          <w:sz w:val="32"/>
          <w:szCs w:val="32"/>
        </w:rPr>
        <w:t>24.教育（类）其他教育支出（款）其他教育支出（项）:指其他用于教育方面的支出。 </w:t>
      </w:r>
    </w:p>
    <w:p>
      <w:pPr>
        <w:spacing w:line="600" w:lineRule="exact"/>
        <w:ind w:firstLine="640" w:firstLineChars="200"/>
        <w:rPr>
          <w:rFonts w:eastAsia="仿宋_GB2312"/>
          <w:color w:val="000000"/>
          <w:sz w:val="32"/>
          <w:szCs w:val="32"/>
        </w:rPr>
      </w:pPr>
      <w:r>
        <w:rPr>
          <w:rFonts w:eastAsia="仿宋_GB2312"/>
          <w:color w:val="000000"/>
          <w:sz w:val="32"/>
          <w:szCs w:val="32"/>
        </w:rPr>
        <w:t>25.社会保障和就业（类）人力资源和社会保障管理事（款） 社会保险经办机构（项）:反映社会保险经办机构开展业务工作的支出。</w:t>
      </w:r>
    </w:p>
    <w:p>
      <w:pPr>
        <w:spacing w:line="600" w:lineRule="exact"/>
        <w:ind w:firstLine="640" w:firstLineChars="200"/>
        <w:rPr>
          <w:rFonts w:eastAsia="仿宋_GB2312"/>
          <w:color w:val="000000"/>
          <w:sz w:val="32"/>
          <w:szCs w:val="32"/>
        </w:rPr>
      </w:pPr>
      <w:r>
        <w:rPr>
          <w:rFonts w:eastAsia="仿宋_GB2312"/>
          <w:color w:val="000000"/>
          <w:sz w:val="32"/>
          <w:szCs w:val="32"/>
        </w:rPr>
        <w:t>26.社会保障和就业（类）行政事业单位离退休（款）未归口管理的行政单位离退休（项）:。指未实行归口管理的行政单位（包括实行公务员管理的事业单位）开支的离退休支出。</w:t>
      </w:r>
    </w:p>
    <w:p>
      <w:pPr>
        <w:spacing w:line="600" w:lineRule="exact"/>
        <w:ind w:firstLine="640" w:firstLineChars="200"/>
        <w:rPr>
          <w:rFonts w:eastAsia="仿宋_GB2312"/>
          <w:color w:val="000000"/>
          <w:sz w:val="32"/>
          <w:szCs w:val="32"/>
        </w:rPr>
      </w:pPr>
      <w:r>
        <w:rPr>
          <w:rFonts w:eastAsia="仿宋_GB2312"/>
          <w:color w:val="000000"/>
          <w:sz w:val="32"/>
          <w:szCs w:val="32"/>
        </w:rPr>
        <w:t>27.社会保障和就业（类）行政事业单位离退休（款）机关事业单位基本养老保险缴费支出（项）:指机关事业单位实施养老保险制度由单位缴纳的基本养老保险费支出。 </w:t>
      </w:r>
    </w:p>
    <w:p>
      <w:pPr>
        <w:spacing w:line="600" w:lineRule="exact"/>
        <w:ind w:firstLine="640" w:firstLineChars="200"/>
        <w:rPr>
          <w:rFonts w:eastAsia="仿宋_GB2312"/>
          <w:color w:val="000000"/>
          <w:sz w:val="32"/>
          <w:szCs w:val="32"/>
        </w:rPr>
      </w:pPr>
      <w:r>
        <w:rPr>
          <w:rFonts w:eastAsia="仿宋_GB2312"/>
          <w:color w:val="000000"/>
          <w:sz w:val="32"/>
          <w:szCs w:val="32"/>
        </w:rPr>
        <w:t>28.社会保障和就业（类）行政事业单位离退休（款）其他行政事业单位离退休支出（项）:其他用于行政事业单位离退休方面的支出。</w:t>
      </w:r>
    </w:p>
    <w:p>
      <w:pPr>
        <w:spacing w:line="600" w:lineRule="exact"/>
        <w:ind w:firstLine="640" w:firstLineChars="200"/>
        <w:rPr>
          <w:rFonts w:eastAsia="仿宋_GB2312"/>
          <w:color w:val="000000"/>
          <w:sz w:val="32"/>
          <w:szCs w:val="32"/>
        </w:rPr>
      </w:pPr>
      <w:r>
        <w:rPr>
          <w:rFonts w:eastAsia="仿宋_GB2312"/>
          <w:color w:val="000000"/>
          <w:sz w:val="32"/>
          <w:szCs w:val="32"/>
        </w:rPr>
        <w:t>29.社会保障和就业（类）抚恤（款）死亡抚恤（项）:指按规定用于烈士和牺牲、病故人员家属的一次性和定期抚恤金以及丧葬补助费。</w:t>
      </w:r>
    </w:p>
    <w:p>
      <w:pPr>
        <w:spacing w:line="600" w:lineRule="exact"/>
        <w:ind w:firstLine="640" w:firstLineChars="200"/>
        <w:rPr>
          <w:rFonts w:eastAsia="仿宋_GB2312"/>
          <w:color w:val="000000"/>
          <w:sz w:val="32"/>
          <w:szCs w:val="32"/>
        </w:rPr>
      </w:pPr>
      <w:r>
        <w:rPr>
          <w:rFonts w:eastAsia="仿宋_GB2312"/>
          <w:color w:val="000000"/>
          <w:sz w:val="32"/>
          <w:szCs w:val="32"/>
        </w:rPr>
        <w:t>30.社会保障和就业（类）残疾人事业（款）其他残疾人事业支出（项）:反映其他用于残疾人事业方面的支出。</w:t>
      </w:r>
    </w:p>
    <w:p>
      <w:pPr>
        <w:spacing w:line="600" w:lineRule="exact"/>
        <w:ind w:firstLine="640" w:firstLineChars="200"/>
        <w:rPr>
          <w:rFonts w:eastAsia="仿宋_GB2312"/>
          <w:color w:val="000000"/>
          <w:sz w:val="32"/>
          <w:szCs w:val="32"/>
        </w:rPr>
      </w:pPr>
      <w:r>
        <w:rPr>
          <w:rFonts w:eastAsia="仿宋_GB2312"/>
          <w:color w:val="000000"/>
          <w:sz w:val="32"/>
          <w:szCs w:val="32"/>
        </w:rPr>
        <w:t>31.社会保障和就业（类）其他社会保障和就业支出（款）其他社会保障和就业支出（项）:指社会保障和就业方面的其他支出。 </w:t>
      </w:r>
    </w:p>
    <w:p>
      <w:pPr>
        <w:spacing w:line="600" w:lineRule="exact"/>
        <w:ind w:firstLine="640" w:firstLineChars="200"/>
        <w:rPr>
          <w:rFonts w:eastAsia="仿宋_GB2312"/>
          <w:color w:val="000000"/>
          <w:sz w:val="32"/>
          <w:szCs w:val="32"/>
        </w:rPr>
      </w:pPr>
      <w:r>
        <w:rPr>
          <w:rFonts w:eastAsia="仿宋_GB2312"/>
          <w:color w:val="000000"/>
          <w:sz w:val="32"/>
          <w:szCs w:val="32"/>
        </w:rPr>
        <w:t>32.医疗卫生与计划生育（类）医疗保障（款）行政单位医疗（项）:指财政部门集中安排的行政单位基本医疗保险缴费经费，未参加医疗保险的行政单位的公费医疗经费，按国家规定享受离休人员、红军老战士待遇人员的医疗经费。 </w:t>
      </w:r>
    </w:p>
    <w:p>
      <w:pPr>
        <w:spacing w:line="600" w:lineRule="exact"/>
        <w:ind w:firstLine="640" w:firstLineChars="200"/>
        <w:rPr>
          <w:rFonts w:eastAsia="仿宋_GB2312"/>
          <w:color w:val="000000"/>
          <w:sz w:val="32"/>
          <w:szCs w:val="32"/>
        </w:rPr>
      </w:pPr>
      <w:r>
        <w:rPr>
          <w:rFonts w:eastAsia="仿宋_GB2312"/>
          <w:color w:val="000000"/>
          <w:sz w:val="32"/>
          <w:szCs w:val="32"/>
        </w:rPr>
        <w:t>33.医疗卫生与计划生育（类）医疗保障（款）事业单位医疗（项）:指财政部门集中安排的事业单位基本医疗保险缴费经费，未参加医疗保险的事业单位的公费医疗经费，按国家规定享受离休人员待遇人员的医疗经费。</w:t>
      </w:r>
    </w:p>
    <w:p>
      <w:pPr>
        <w:spacing w:line="600" w:lineRule="exact"/>
        <w:ind w:firstLine="640" w:firstLineChars="200"/>
        <w:rPr>
          <w:rFonts w:eastAsia="仿宋_GB2312"/>
          <w:color w:val="000000"/>
          <w:sz w:val="32"/>
          <w:szCs w:val="32"/>
        </w:rPr>
      </w:pPr>
      <w:r>
        <w:rPr>
          <w:rFonts w:eastAsia="仿宋_GB2312"/>
          <w:color w:val="000000"/>
          <w:sz w:val="32"/>
          <w:szCs w:val="32"/>
        </w:rPr>
        <w:t>34.国土海洋气象等（类）国土资源事务（款）地址灾害防治（项）:主要用于地质灾害防治工作方面的支出。</w:t>
      </w:r>
    </w:p>
    <w:p>
      <w:pPr>
        <w:spacing w:line="600" w:lineRule="exact"/>
        <w:ind w:firstLine="640" w:firstLineChars="200"/>
        <w:rPr>
          <w:rFonts w:eastAsia="仿宋_GB2312"/>
          <w:color w:val="000000"/>
          <w:sz w:val="32"/>
          <w:szCs w:val="32"/>
        </w:rPr>
      </w:pPr>
      <w:r>
        <w:rPr>
          <w:rFonts w:eastAsia="仿宋_GB2312"/>
          <w:color w:val="000000"/>
          <w:sz w:val="32"/>
          <w:szCs w:val="32"/>
        </w:rPr>
        <w:t>35.住房保障（类）住房改革支出（款）住房公积金（项）:各单位按人力资源和社会保障部、财政部规定的基本工资和津贴补贴以及规定比例为职工缴纳的住房公积金。 </w:t>
      </w:r>
    </w:p>
    <w:p>
      <w:pPr>
        <w:spacing w:line="600" w:lineRule="exact"/>
        <w:ind w:firstLine="640" w:firstLineChars="200"/>
        <w:rPr>
          <w:rFonts w:eastAsia="仿宋_GB2312"/>
          <w:color w:val="000000"/>
          <w:sz w:val="32"/>
          <w:szCs w:val="32"/>
        </w:rPr>
      </w:pPr>
      <w:r>
        <w:rPr>
          <w:rFonts w:eastAsia="仿宋_GB2312"/>
          <w:color w:val="000000"/>
          <w:sz w:val="32"/>
          <w:szCs w:val="32"/>
        </w:rPr>
        <w:t>36.结余分配：指事业单位按规定提取的职工福利基金、事业基金和缴纳的所得税，以及建设单位按规定应交回的基本建设竣工项目结余资金。</w:t>
      </w:r>
    </w:p>
    <w:p>
      <w:pPr>
        <w:spacing w:line="600" w:lineRule="exact"/>
        <w:ind w:firstLine="640" w:firstLineChars="200"/>
        <w:rPr>
          <w:rFonts w:eastAsia="仿宋_GB2312"/>
          <w:color w:val="000000"/>
          <w:sz w:val="32"/>
          <w:szCs w:val="32"/>
        </w:rPr>
      </w:pPr>
      <w:r>
        <w:rPr>
          <w:rFonts w:eastAsia="仿宋_GB2312"/>
          <w:color w:val="000000"/>
          <w:sz w:val="32"/>
          <w:szCs w:val="32"/>
        </w:rPr>
        <w:t>37.年末结转和结余：指本年度或以前年度预算安排、因客观条件发生变化无法按原计划实施，需延迟到以后年度按有关规定继续使用的资金。</w:t>
      </w:r>
    </w:p>
    <w:p>
      <w:pPr>
        <w:spacing w:line="600" w:lineRule="exact"/>
        <w:ind w:firstLine="640" w:firstLineChars="200"/>
        <w:rPr>
          <w:rFonts w:eastAsia="仿宋_GB2312"/>
          <w:color w:val="000000"/>
          <w:sz w:val="32"/>
          <w:szCs w:val="32"/>
        </w:rPr>
      </w:pPr>
      <w:r>
        <w:rPr>
          <w:rFonts w:eastAsia="仿宋_GB2312"/>
          <w:color w:val="000000"/>
          <w:sz w:val="32"/>
          <w:szCs w:val="32"/>
        </w:rPr>
        <w:t>38.基本支出：指为保障机构正常运转、完成日常工作任务而发生的人员支出和公用支出。</w:t>
      </w:r>
    </w:p>
    <w:p>
      <w:pPr>
        <w:spacing w:line="600" w:lineRule="exact"/>
        <w:ind w:firstLine="640" w:firstLineChars="200"/>
        <w:rPr>
          <w:rFonts w:eastAsia="仿宋_GB2312"/>
          <w:color w:val="000000"/>
          <w:sz w:val="32"/>
          <w:szCs w:val="32"/>
        </w:rPr>
      </w:pPr>
      <w:r>
        <w:rPr>
          <w:rFonts w:eastAsia="仿宋_GB2312"/>
          <w:color w:val="000000"/>
          <w:sz w:val="32"/>
          <w:szCs w:val="32"/>
        </w:rPr>
        <w:t xml:space="preserve">39.项目支出：指在基本支出之外为完成特定行政任务和事业发展目标所发生的支出。 </w:t>
      </w:r>
    </w:p>
    <w:p>
      <w:pPr>
        <w:spacing w:line="600" w:lineRule="exact"/>
        <w:ind w:firstLine="640" w:firstLineChars="200"/>
        <w:rPr>
          <w:rFonts w:eastAsia="仿宋_GB2312"/>
          <w:color w:val="000000"/>
          <w:sz w:val="32"/>
          <w:szCs w:val="32"/>
        </w:rPr>
      </w:pPr>
      <w:r>
        <w:rPr>
          <w:rFonts w:eastAsia="仿宋_GB2312"/>
          <w:color w:val="000000"/>
          <w:sz w:val="32"/>
          <w:szCs w:val="32"/>
        </w:rPr>
        <w:t>40.经营支出：指事业单位在专业业务活动及其辅助活动之外开展非独立核算经营活动发生的支出。</w:t>
      </w:r>
    </w:p>
    <w:p>
      <w:pPr>
        <w:pStyle w:val="23"/>
        <w:spacing w:line="600" w:lineRule="exact"/>
        <w:ind w:firstLine="640" w:firstLineChars="200"/>
        <w:rPr>
          <w:rFonts w:ascii="仿宋_GB2312" w:eastAsia="仿宋_GB2312"/>
          <w:color w:val="auto"/>
          <w:sz w:val="32"/>
          <w:szCs w:val="32"/>
        </w:rPr>
      </w:pPr>
      <w:r>
        <w:rPr>
          <w:rFonts w:ascii="Times New Roman" w:hAnsi="Times New Roman" w:eastAsia="仿宋_GB2312" w:cs="Times New Roman"/>
          <w:sz w:val="32"/>
          <w:szCs w:val="32"/>
        </w:rPr>
        <w:t>41.“三公”经费：纳入省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bookmarkStart w:id="65" w:name="_GoBack"/>
      <w:bookmarkEnd w:id="65"/>
    </w:p>
    <w:p>
      <w:pPr>
        <w:pStyle w:val="23"/>
        <w:spacing w:line="560" w:lineRule="exact"/>
        <w:ind w:firstLine="640" w:firstLineChars="200"/>
        <w:rPr>
          <w:rFonts w:ascii="仿宋_GB2312" w:eastAsia="仿宋_GB2312" w:cs="黑体"/>
          <w:color w:val="auto"/>
          <w:sz w:val="32"/>
          <w:szCs w:val="32"/>
        </w:rPr>
      </w:pPr>
    </w:p>
    <w:p>
      <w:pPr>
        <w:spacing w:line="600" w:lineRule="exact"/>
        <w:jc w:val="center"/>
        <w:outlineLvl w:val="0"/>
        <w:rPr>
          <w:rFonts w:ascii="黑体" w:hAnsi="黑体" w:eastAsia="黑体"/>
          <w:sz w:val="44"/>
          <w:szCs w:val="44"/>
        </w:rPr>
      </w:pPr>
      <w:bookmarkStart w:id="49" w:name="_Toc15396614"/>
      <w:bookmarkStart w:id="50" w:name="_Toc15377226"/>
    </w:p>
    <w:p>
      <w:pPr>
        <w:spacing w:line="600" w:lineRule="exact"/>
        <w:jc w:val="center"/>
        <w:outlineLvl w:val="0"/>
        <w:rPr>
          <w:rFonts w:ascii="黑体" w:hAnsi="黑体" w:eastAsia="黑体"/>
          <w:sz w:val="44"/>
          <w:szCs w:val="44"/>
        </w:rPr>
      </w:pPr>
    </w:p>
    <w:p>
      <w:pPr>
        <w:spacing w:line="600" w:lineRule="exact"/>
        <w:jc w:val="center"/>
        <w:outlineLvl w:val="0"/>
        <w:rPr>
          <w:rFonts w:ascii="黑体" w:hAnsi="黑体" w:eastAsia="黑体"/>
          <w:sz w:val="44"/>
          <w:szCs w:val="44"/>
        </w:rPr>
      </w:pPr>
    </w:p>
    <w:p>
      <w:pPr>
        <w:spacing w:line="600" w:lineRule="exact"/>
        <w:jc w:val="center"/>
        <w:outlineLvl w:val="0"/>
        <w:rPr>
          <w:rFonts w:ascii="黑体" w:hAnsi="黑体" w:eastAsia="黑体"/>
          <w:sz w:val="44"/>
          <w:szCs w:val="44"/>
        </w:rPr>
      </w:pPr>
    </w:p>
    <w:p>
      <w:pPr>
        <w:spacing w:line="600" w:lineRule="exact"/>
        <w:jc w:val="center"/>
        <w:outlineLvl w:val="0"/>
        <w:rPr>
          <w:rFonts w:ascii="黑体" w:hAnsi="黑体" w:eastAsia="黑体"/>
          <w:sz w:val="44"/>
          <w:szCs w:val="44"/>
        </w:rPr>
      </w:pPr>
    </w:p>
    <w:p>
      <w:pPr>
        <w:spacing w:line="600" w:lineRule="exact"/>
        <w:jc w:val="center"/>
        <w:outlineLvl w:val="0"/>
        <w:rPr>
          <w:rStyle w:val="25"/>
          <w:rFonts w:ascii="仿宋" w:hAnsi="仿宋" w:eastAsia="仿宋"/>
          <w:b w:val="0"/>
        </w:rPr>
      </w:pPr>
      <w:r>
        <w:rPr>
          <w:rFonts w:hint="eastAsia" w:ascii="仿宋" w:hAnsi="仿宋" w:eastAsia="仿宋"/>
          <w:b/>
          <w:sz w:val="44"/>
          <w:szCs w:val="44"/>
        </w:rPr>
        <w:t>第</w:t>
      </w:r>
      <w:r>
        <w:rPr>
          <w:rStyle w:val="25"/>
          <w:rFonts w:hint="eastAsia" w:ascii="仿宋" w:hAnsi="仿宋" w:eastAsia="仿宋"/>
          <w:b w:val="0"/>
        </w:rPr>
        <w:t>四部分 附件</w:t>
      </w:r>
      <w:bookmarkEnd w:id="49"/>
    </w:p>
    <w:p>
      <w:pPr>
        <w:spacing w:line="572" w:lineRule="exact"/>
        <w:jc w:val="left"/>
        <w:outlineLvl w:val="0"/>
        <w:rPr>
          <w:rFonts w:ascii="仿宋" w:hAnsi="仿宋" w:eastAsia="仿宋" w:cs="仿宋_GB2312"/>
          <w:sz w:val="32"/>
          <w:szCs w:val="32"/>
        </w:rPr>
      </w:pPr>
      <w:r>
        <w:rPr>
          <w:rFonts w:hint="eastAsia" w:ascii="仿宋" w:hAnsi="仿宋" w:eastAsia="仿宋" w:cs="黑体"/>
          <w:sz w:val="32"/>
          <w:szCs w:val="32"/>
        </w:rPr>
        <w:t>附件1</w:t>
      </w:r>
    </w:p>
    <w:p>
      <w:pPr>
        <w:pStyle w:val="34"/>
        <w:rPr>
          <w:shd w:val="clear" w:color="auto" w:fill="FFFFFF"/>
        </w:rPr>
      </w:pPr>
      <w:bookmarkStart w:id="51" w:name="_Toc15396618"/>
      <w:r>
        <w:rPr>
          <w:rFonts w:hint="eastAsia"/>
          <w:shd w:val="clear" w:color="auto" w:fill="FFFFFF"/>
        </w:rPr>
        <w:t>乐山市</w:t>
      </w:r>
      <w:r>
        <w:rPr>
          <w:rFonts w:hint="eastAsia"/>
          <w:shd w:val="clear" w:color="auto" w:fill="FFFFFF"/>
          <w:lang w:eastAsia="zh-CN"/>
        </w:rPr>
        <w:t>县街</w:t>
      </w:r>
      <w:r>
        <w:rPr>
          <w:rFonts w:hint="eastAsia"/>
          <w:shd w:val="clear" w:color="auto" w:fill="FFFFFF"/>
        </w:rPr>
        <w:t>小学</w:t>
      </w:r>
    </w:p>
    <w:p>
      <w:pPr>
        <w:pStyle w:val="34"/>
        <w:rPr>
          <w:shd w:val="clear" w:color="auto" w:fill="FFFFFF"/>
        </w:rPr>
      </w:pPr>
      <w:r>
        <w:rPr>
          <w:rFonts w:hint="eastAsia"/>
          <w:shd w:val="clear" w:color="auto" w:fill="FFFFFF"/>
        </w:rPr>
        <w:t>2021年部门整体支出绩效自评报告</w:t>
      </w:r>
    </w:p>
    <w:p>
      <w:pPr>
        <w:widowControl/>
        <w:spacing w:line="540" w:lineRule="exact"/>
        <w:ind w:firstLine="560" w:firstLineChars="200"/>
        <w:jc w:val="left"/>
        <w:rPr>
          <w:rFonts w:ascii="宋体" w:hAnsi="宋体" w:cs="宋体"/>
          <w:sz w:val="28"/>
          <w:szCs w:val="28"/>
          <w:shd w:val="clear" w:color="auto" w:fill="FFFFFF"/>
        </w:rPr>
      </w:pPr>
    </w:p>
    <w:p>
      <w:pPr>
        <w:widowControl/>
        <w:spacing w:line="500" w:lineRule="exact"/>
        <w:ind w:firstLine="560" w:firstLineChars="200"/>
        <w:jc w:val="left"/>
        <w:rPr>
          <w:rFonts w:ascii="宋体" w:hAnsi="宋体" w:cs="宋体"/>
          <w:sz w:val="28"/>
          <w:szCs w:val="28"/>
          <w:shd w:val="clear" w:color="auto" w:fill="FFFFFF"/>
        </w:rPr>
      </w:pPr>
      <w:r>
        <w:rPr>
          <w:rFonts w:hint="eastAsia" w:ascii="宋体" w:hAnsi="宋体" w:cs="宋体"/>
          <w:sz w:val="28"/>
          <w:szCs w:val="28"/>
          <w:shd w:val="clear" w:color="auto" w:fill="FFFFFF"/>
        </w:rPr>
        <w:t>根据乐中财政监〔</w:t>
      </w:r>
      <w:r>
        <w:rPr>
          <w:rFonts w:ascii="宋体" w:hAnsi="宋体" w:cs="宋体"/>
          <w:sz w:val="28"/>
          <w:szCs w:val="28"/>
          <w:shd w:val="clear" w:color="auto" w:fill="FFFFFF"/>
        </w:rPr>
        <w:t>20</w:t>
      </w:r>
      <w:r>
        <w:rPr>
          <w:rFonts w:hint="eastAsia" w:ascii="宋体" w:hAnsi="宋体" w:cs="宋体"/>
          <w:sz w:val="28"/>
          <w:szCs w:val="28"/>
          <w:shd w:val="clear" w:color="auto" w:fill="FFFFFF"/>
        </w:rPr>
        <w:t>2</w:t>
      </w:r>
      <w:r>
        <w:rPr>
          <w:rFonts w:ascii="宋体" w:hAnsi="宋体" w:cs="宋体"/>
          <w:sz w:val="28"/>
          <w:szCs w:val="28"/>
          <w:shd w:val="clear" w:color="auto" w:fill="FFFFFF"/>
        </w:rPr>
        <w:t>2</w:t>
      </w:r>
      <w:r>
        <w:rPr>
          <w:rFonts w:hint="eastAsia" w:ascii="宋体" w:hAnsi="宋体" w:cs="宋体"/>
          <w:sz w:val="28"/>
          <w:szCs w:val="28"/>
          <w:shd w:val="clear" w:color="auto" w:fill="FFFFFF"/>
        </w:rPr>
        <w:t>〕6号文件《</w:t>
      </w:r>
      <w:r>
        <w:rPr>
          <w:rFonts w:ascii="宋体" w:hAnsi="宋体" w:cs="宋体"/>
          <w:sz w:val="28"/>
          <w:szCs w:val="28"/>
          <w:shd w:val="clear" w:color="auto" w:fill="FFFFFF"/>
        </w:rPr>
        <w:t>乐山市市中区财政局关于开展部门整体支出、项目支出绩效自评和抽评工作的通知</w:t>
      </w:r>
      <w:r>
        <w:rPr>
          <w:rFonts w:hint="eastAsia" w:ascii="宋体" w:hAnsi="宋体" w:cs="宋体"/>
          <w:sz w:val="28"/>
          <w:szCs w:val="28"/>
          <w:shd w:val="clear" w:color="auto" w:fill="FFFFFF"/>
        </w:rPr>
        <w:t>》，我校对202</w:t>
      </w:r>
      <w:r>
        <w:rPr>
          <w:rFonts w:ascii="宋体" w:hAnsi="宋体" w:cs="宋体"/>
          <w:sz w:val="28"/>
          <w:szCs w:val="28"/>
          <w:shd w:val="clear" w:color="auto" w:fill="FFFFFF"/>
        </w:rPr>
        <w:t>1</w:t>
      </w:r>
      <w:r>
        <w:rPr>
          <w:rFonts w:hint="eastAsia" w:ascii="宋体" w:hAnsi="宋体" w:cs="宋体"/>
          <w:sz w:val="28"/>
          <w:szCs w:val="28"/>
          <w:shd w:val="clear" w:color="auto" w:fill="FFFFFF"/>
        </w:rPr>
        <w:t>年度部门整体支出绩效进行了全面综合评价，现将有关情况汇报如下：</w:t>
      </w:r>
    </w:p>
    <w:p>
      <w:pPr>
        <w:widowControl/>
        <w:spacing w:line="500" w:lineRule="exact"/>
        <w:ind w:firstLine="562" w:firstLineChars="200"/>
        <w:jc w:val="left"/>
        <w:rPr>
          <w:rFonts w:ascii="宋体" w:hAnsi="宋体" w:cs="宋体"/>
          <w:b/>
          <w:sz w:val="28"/>
          <w:szCs w:val="28"/>
          <w:shd w:val="clear" w:color="auto" w:fill="FFFFFF"/>
        </w:rPr>
      </w:pPr>
      <w:r>
        <w:rPr>
          <w:rFonts w:hint="eastAsia" w:ascii="宋体" w:hAnsi="宋体" w:cs="宋体"/>
          <w:b/>
          <w:sz w:val="28"/>
          <w:szCs w:val="28"/>
          <w:shd w:val="clear" w:color="auto" w:fill="FFFFFF"/>
        </w:rPr>
        <w:t>一</w:t>
      </w:r>
      <w:r>
        <w:rPr>
          <w:rFonts w:ascii="宋体" w:hAnsi="宋体" w:cs="宋体"/>
          <w:b/>
          <w:sz w:val="28"/>
          <w:szCs w:val="28"/>
          <w:shd w:val="clear" w:color="auto" w:fill="FFFFFF"/>
        </w:rPr>
        <w:t>、</w:t>
      </w:r>
      <w:r>
        <w:rPr>
          <w:rFonts w:hint="eastAsia" w:ascii="宋体" w:hAnsi="宋体" w:cs="宋体"/>
          <w:b/>
          <w:sz w:val="28"/>
          <w:szCs w:val="28"/>
          <w:shd w:val="clear" w:color="auto" w:fill="FFFFFF"/>
        </w:rPr>
        <w:t>部门（单位）概况</w:t>
      </w:r>
    </w:p>
    <w:p>
      <w:pPr>
        <w:pStyle w:val="24"/>
        <w:spacing w:line="500" w:lineRule="exact"/>
        <w:ind w:left="637" w:firstLine="0" w:firstLineChars="0"/>
        <w:rPr>
          <w:rFonts w:ascii="宋体" w:hAnsi="宋体" w:cs="宋体"/>
          <w:sz w:val="28"/>
          <w:szCs w:val="28"/>
          <w:shd w:val="clear" w:color="auto" w:fill="FFFFFF"/>
        </w:rPr>
      </w:pPr>
      <w:r>
        <w:rPr>
          <w:rFonts w:hint="eastAsia" w:ascii="宋体" w:hAnsi="宋体" w:cs="宋体"/>
          <w:sz w:val="28"/>
          <w:szCs w:val="28"/>
          <w:shd w:val="clear" w:color="auto" w:fill="FFFFFF"/>
        </w:rPr>
        <w:t>（一）机构组成：</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乐山市</w:t>
      </w:r>
      <w:r>
        <w:rPr>
          <w:rFonts w:hint="eastAsia" w:ascii="宋体" w:hAnsi="宋体" w:cs="宋体"/>
          <w:sz w:val="28"/>
          <w:szCs w:val="28"/>
          <w:shd w:val="clear" w:color="auto" w:fill="FFFFFF"/>
          <w:lang w:eastAsia="zh-CN"/>
        </w:rPr>
        <w:t>县街</w:t>
      </w:r>
      <w:r>
        <w:rPr>
          <w:rFonts w:hint="eastAsia" w:ascii="宋体" w:hAnsi="宋体" w:cs="宋体"/>
          <w:sz w:val="28"/>
          <w:szCs w:val="28"/>
          <w:shd w:val="clear" w:color="auto" w:fill="FFFFFF"/>
        </w:rPr>
        <w:t>小学，内设机构</w:t>
      </w:r>
      <w:r>
        <w:rPr>
          <w:rFonts w:hint="eastAsia" w:ascii="宋体" w:hAnsi="宋体" w:cs="宋体"/>
          <w:sz w:val="28"/>
          <w:szCs w:val="28"/>
          <w:shd w:val="clear" w:color="auto" w:fill="FFFFFF"/>
          <w:lang w:val="en-US" w:eastAsia="zh-CN"/>
        </w:rPr>
        <w:t>7</w:t>
      </w:r>
      <w:r>
        <w:rPr>
          <w:rFonts w:hint="eastAsia" w:ascii="宋体" w:hAnsi="宋体" w:cs="宋体"/>
          <w:sz w:val="28"/>
          <w:szCs w:val="28"/>
          <w:shd w:val="clear" w:color="auto" w:fill="FFFFFF"/>
        </w:rPr>
        <w:t>个，分别为教导处、总务处、安全办、</w:t>
      </w:r>
      <w:r>
        <w:rPr>
          <w:rFonts w:hint="eastAsia" w:ascii="宋体" w:hAnsi="宋体" w:cs="宋体"/>
          <w:sz w:val="28"/>
          <w:szCs w:val="28"/>
          <w:shd w:val="clear" w:color="auto" w:fill="FFFFFF"/>
          <w:lang w:eastAsia="zh-CN"/>
        </w:rPr>
        <w:t>教科室、学校办公室、</w:t>
      </w:r>
      <w:r>
        <w:rPr>
          <w:rFonts w:hint="eastAsia" w:ascii="宋体" w:hAnsi="宋体" w:cs="宋体"/>
          <w:sz w:val="28"/>
          <w:szCs w:val="28"/>
          <w:shd w:val="clear" w:color="auto" w:fill="FFFFFF"/>
        </w:rPr>
        <w:t>团队、工会。共</w:t>
      </w:r>
      <w:r>
        <w:rPr>
          <w:rFonts w:hint="eastAsia" w:ascii="宋体" w:hAnsi="宋体" w:cs="宋体"/>
          <w:sz w:val="28"/>
          <w:szCs w:val="28"/>
          <w:shd w:val="clear" w:color="auto" w:fill="FFFFFF"/>
          <w:lang w:val="en-US" w:eastAsia="zh-CN"/>
        </w:rPr>
        <w:t>50</w:t>
      </w:r>
      <w:r>
        <w:rPr>
          <w:rFonts w:hint="eastAsia" w:ascii="宋体" w:hAnsi="宋体" w:cs="宋体"/>
          <w:sz w:val="28"/>
          <w:szCs w:val="28"/>
          <w:shd w:val="clear" w:color="auto" w:fill="FFFFFF"/>
        </w:rPr>
        <w:t>个教学班。</w:t>
      </w:r>
    </w:p>
    <w:p>
      <w:pPr>
        <w:spacing w:line="500" w:lineRule="exact"/>
        <w:ind w:left="637"/>
        <w:rPr>
          <w:rFonts w:ascii="宋体" w:hAnsi="宋体" w:cs="宋体"/>
          <w:sz w:val="28"/>
          <w:szCs w:val="28"/>
          <w:shd w:val="clear" w:color="auto" w:fill="FFFFFF"/>
        </w:rPr>
      </w:pPr>
      <w:r>
        <w:rPr>
          <w:rFonts w:hint="eastAsia" w:ascii="宋体" w:hAnsi="宋体" w:cs="宋体"/>
          <w:sz w:val="28"/>
          <w:szCs w:val="28"/>
          <w:shd w:val="clear" w:color="auto" w:fill="FFFFFF"/>
        </w:rPr>
        <w:t>（二）机构职能</w:t>
      </w:r>
      <w:r>
        <w:rPr>
          <w:rFonts w:ascii="宋体" w:hAnsi="宋体" w:cs="宋体"/>
          <w:sz w:val="28"/>
          <w:szCs w:val="28"/>
          <w:shd w:val="clear" w:color="auto" w:fill="FFFFFF"/>
        </w:rPr>
        <w:t>:</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全面贯彻执行党和国家教育方针政策和法律法规，拟定学校教育事业发展规划，实施小学义务教育和学前教育，促进教育发展。学校始终坚持“让学校成为师生健康成长乐园” 的办学宗旨，全面贯彻落实党的教育方针、政策，依法治校。做好校园安全工作，健全安全应急机制，确保师生在校期间的安全。</w:t>
      </w:r>
    </w:p>
    <w:p>
      <w:pPr>
        <w:pStyle w:val="24"/>
        <w:spacing w:line="500" w:lineRule="exact"/>
        <w:ind w:left="637" w:firstLine="0" w:firstLineChars="0"/>
        <w:rPr>
          <w:rFonts w:ascii="宋体" w:hAnsi="宋体" w:cs="宋体"/>
          <w:sz w:val="28"/>
          <w:szCs w:val="28"/>
          <w:shd w:val="clear" w:color="auto" w:fill="FFFFFF"/>
        </w:rPr>
      </w:pPr>
      <w:r>
        <w:rPr>
          <w:rFonts w:hint="eastAsia" w:ascii="宋体" w:hAnsi="宋体" w:cs="宋体"/>
          <w:sz w:val="28"/>
          <w:szCs w:val="28"/>
          <w:shd w:val="clear" w:color="auto" w:fill="FFFFFF"/>
        </w:rPr>
        <w:t>（三）人员概况。</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截止20</w:t>
      </w:r>
      <w:r>
        <w:rPr>
          <w:rFonts w:ascii="宋体" w:hAnsi="宋体" w:cs="宋体"/>
          <w:sz w:val="28"/>
          <w:szCs w:val="28"/>
          <w:shd w:val="clear" w:color="auto" w:fill="FFFFFF"/>
        </w:rPr>
        <w:t>21</w:t>
      </w:r>
      <w:r>
        <w:rPr>
          <w:rFonts w:hint="eastAsia" w:ascii="宋体" w:hAnsi="宋体" w:cs="宋体"/>
          <w:sz w:val="28"/>
          <w:szCs w:val="28"/>
          <w:shd w:val="clear" w:color="auto" w:fill="FFFFFF"/>
        </w:rPr>
        <w:t>年12月31日，我校有在职在编职工</w:t>
      </w:r>
      <w:r>
        <w:rPr>
          <w:rFonts w:hint="eastAsia" w:ascii="宋体" w:hAnsi="宋体" w:cs="宋体"/>
          <w:sz w:val="28"/>
          <w:szCs w:val="28"/>
          <w:shd w:val="clear" w:color="auto" w:fill="FFFFFF"/>
          <w:lang w:val="en-US" w:eastAsia="zh-CN"/>
        </w:rPr>
        <w:t>109</w:t>
      </w:r>
      <w:r>
        <w:rPr>
          <w:rFonts w:hint="eastAsia" w:ascii="宋体" w:hAnsi="宋体" w:cs="宋体"/>
          <w:sz w:val="28"/>
          <w:szCs w:val="28"/>
          <w:shd w:val="clear" w:color="auto" w:fill="FFFFFF"/>
        </w:rPr>
        <w:t>人</w:t>
      </w:r>
      <w:r>
        <w:rPr>
          <w:rFonts w:hint="eastAsia" w:ascii="宋体" w:hAnsi="宋体" w:cs="宋体"/>
          <w:sz w:val="28"/>
          <w:szCs w:val="28"/>
          <w:shd w:val="clear" w:color="auto" w:fill="FFFFFF"/>
          <w:lang w:eastAsia="zh-CN"/>
        </w:rPr>
        <w:t>，</w:t>
      </w:r>
      <w:r>
        <w:rPr>
          <w:rFonts w:hint="eastAsia" w:ascii="宋体" w:hAnsi="宋体" w:cs="宋体"/>
          <w:sz w:val="28"/>
          <w:szCs w:val="28"/>
          <w:shd w:val="clear" w:color="auto" w:fill="FFFFFF"/>
        </w:rPr>
        <w:t>其中事业专技</w:t>
      </w:r>
      <w:r>
        <w:rPr>
          <w:rFonts w:hint="eastAsia" w:ascii="宋体" w:hAnsi="宋体" w:cs="宋体"/>
          <w:sz w:val="28"/>
          <w:szCs w:val="28"/>
          <w:shd w:val="clear" w:color="auto" w:fill="FFFFFF"/>
          <w:lang w:val="en-US" w:eastAsia="zh-CN"/>
        </w:rPr>
        <w:t>106</w:t>
      </w:r>
      <w:r>
        <w:rPr>
          <w:rFonts w:hint="eastAsia" w:ascii="宋体" w:hAnsi="宋体" w:cs="宋体"/>
          <w:sz w:val="28"/>
          <w:szCs w:val="28"/>
          <w:shd w:val="clear" w:color="auto" w:fill="FFFFFF"/>
        </w:rPr>
        <w:t>人，事业工勤</w:t>
      </w:r>
      <w:r>
        <w:rPr>
          <w:rFonts w:hint="eastAsia" w:ascii="宋体" w:hAnsi="宋体" w:cs="宋体"/>
          <w:sz w:val="28"/>
          <w:szCs w:val="28"/>
          <w:shd w:val="clear" w:color="auto" w:fill="FFFFFF"/>
          <w:lang w:val="en-US" w:eastAsia="zh-CN"/>
        </w:rPr>
        <w:t>3</w:t>
      </w:r>
      <w:r>
        <w:rPr>
          <w:rFonts w:hint="eastAsia" w:ascii="宋体" w:hAnsi="宋体" w:cs="宋体"/>
          <w:sz w:val="28"/>
          <w:szCs w:val="28"/>
          <w:shd w:val="clear" w:color="auto" w:fill="FFFFFF"/>
        </w:rPr>
        <w:t>人；退休人员</w:t>
      </w:r>
      <w:r>
        <w:rPr>
          <w:rFonts w:hint="eastAsia" w:ascii="宋体" w:hAnsi="宋体" w:cs="宋体"/>
          <w:sz w:val="28"/>
          <w:szCs w:val="28"/>
          <w:shd w:val="clear" w:color="auto" w:fill="FFFFFF"/>
          <w:lang w:val="en-US" w:eastAsia="zh-CN"/>
        </w:rPr>
        <w:t>240</w:t>
      </w:r>
      <w:r>
        <w:rPr>
          <w:rFonts w:hint="eastAsia" w:ascii="宋体" w:hAnsi="宋体" w:cs="宋体"/>
          <w:sz w:val="28"/>
          <w:szCs w:val="28"/>
          <w:shd w:val="clear" w:color="auto" w:fill="FFFFFF"/>
        </w:rPr>
        <w:t>人；在校学生</w:t>
      </w:r>
      <w:r>
        <w:rPr>
          <w:rFonts w:hint="eastAsia" w:ascii="宋体" w:hAnsi="宋体" w:cs="宋体"/>
          <w:sz w:val="28"/>
          <w:szCs w:val="28"/>
          <w:shd w:val="clear" w:color="auto" w:fill="FFFFFF"/>
          <w:lang w:val="en-US" w:eastAsia="zh-CN"/>
        </w:rPr>
        <w:t>2778</w:t>
      </w:r>
      <w:r>
        <w:rPr>
          <w:rFonts w:hint="eastAsia" w:ascii="宋体" w:hAnsi="宋体" w:cs="宋体"/>
          <w:sz w:val="28"/>
          <w:szCs w:val="28"/>
          <w:shd w:val="clear" w:color="auto" w:fill="FFFFFF"/>
        </w:rPr>
        <w:t>人。</w:t>
      </w:r>
    </w:p>
    <w:p>
      <w:pPr>
        <w:spacing w:line="500" w:lineRule="exact"/>
        <w:ind w:firstLine="562" w:firstLineChars="200"/>
        <w:rPr>
          <w:rFonts w:ascii="宋体" w:hAnsi="宋体" w:cs="宋体"/>
          <w:b/>
          <w:sz w:val="28"/>
          <w:szCs w:val="28"/>
          <w:shd w:val="clear" w:color="auto" w:fill="FFFFFF"/>
        </w:rPr>
      </w:pPr>
      <w:r>
        <w:rPr>
          <w:rFonts w:hint="eastAsia" w:ascii="宋体" w:hAnsi="宋体" w:cs="宋体"/>
          <w:b/>
          <w:sz w:val="28"/>
          <w:szCs w:val="28"/>
          <w:shd w:val="clear" w:color="auto" w:fill="FFFFFF"/>
        </w:rPr>
        <w:t>二</w:t>
      </w:r>
      <w:r>
        <w:rPr>
          <w:rFonts w:ascii="宋体" w:hAnsi="宋体" w:cs="宋体"/>
          <w:b/>
          <w:sz w:val="28"/>
          <w:szCs w:val="28"/>
          <w:shd w:val="clear" w:color="auto" w:fill="FFFFFF"/>
        </w:rPr>
        <w:t>、</w:t>
      </w:r>
      <w:r>
        <w:rPr>
          <w:rFonts w:hint="eastAsia" w:ascii="宋体" w:hAnsi="宋体" w:cs="宋体"/>
          <w:b/>
          <w:sz w:val="28"/>
          <w:szCs w:val="28"/>
          <w:shd w:val="clear" w:color="auto" w:fill="FFFFFF"/>
        </w:rPr>
        <w:t>部门财政资金收支情况</w:t>
      </w:r>
    </w:p>
    <w:p>
      <w:pPr>
        <w:pStyle w:val="36"/>
        <w:numPr>
          <w:ilvl w:val="0"/>
          <w:numId w:val="6"/>
        </w:numPr>
        <w:spacing w:line="500" w:lineRule="exact"/>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部门财政资金收入情况。</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本校</w:t>
      </w:r>
      <w:r>
        <w:rPr>
          <w:rFonts w:ascii="宋体" w:hAnsi="宋体" w:cs="宋体"/>
          <w:sz w:val="28"/>
          <w:szCs w:val="28"/>
          <w:shd w:val="clear" w:color="auto" w:fill="FFFFFF"/>
        </w:rPr>
        <w:t>2021</w:t>
      </w:r>
      <w:r>
        <w:rPr>
          <w:rFonts w:hint="eastAsia" w:ascii="宋体" w:hAnsi="宋体" w:cs="宋体"/>
          <w:sz w:val="28"/>
          <w:szCs w:val="28"/>
          <w:shd w:val="clear" w:color="auto" w:fill="FFFFFF"/>
        </w:rPr>
        <w:t>年部门财政资金收入</w:t>
      </w:r>
      <w:r>
        <w:rPr>
          <w:rFonts w:hint="eastAsia" w:ascii="宋体" w:hAnsi="宋体" w:cs="宋体"/>
          <w:sz w:val="28"/>
          <w:szCs w:val="28"/>
          <w:shd w:val="clear" w:color="auto" w:fill="FFFFFF"/>
          <w:lang w:val="en-US" w:eastAsia="zh-CN"/>
        </w:rPr>
        <w:t>2231.27万</w:t>
      </w:r>
      <w:r>
        <w:rPr>
          <w:rFonts w:hint="eastAsia" w:ascii="宋体" w:hAnsi="宋体" w:cs="宋体"/>
          <w:sz w:val="28"/>
          <w:szCs w:val="28"/>
          <w:shd w:val="clear" w:color="auto" w:fill="FFFFFF"/>
        </w:rPr>
        <w:t>元，其中财政拨款</w:t>
      </w:r>
      <w:r>
        <w:rPr>
          <w:rFonts w:hint="eastAsia" w:ascii="宋体" w:hAnsi="宋体" w:cs="宋体"/>
          <w:sz w:val="28"/>
          <w:szCs w:val="28"/>
          <w:shd w:val="clear" w:color="auto" w:fill="FFFFFF"/>
          <w:lang w:val="en-US" w:eastAsia="zh-CN"/>
        </w:rPr>
        <w:t>2231.27万</w:t>
      </w:r>
      <w:r>
        <w:rPr>
          <w:rFonts w:hint="eastAsia" w:ascii="宋体" w:hAnsi="宋体" w:cs="宋体"/>
          <w:sz w:val="28"/>
          <w:szCs w:val="28"/>
          <w:shd w:val="clear" w:color="auto" w:fill="FFFFFF"/>
        </w:rPr>
        <w:t>元，年初结转结余</w:t>
      </w:r>
      <w:r>
        <w:rPr>
          <w:rFonts w:hint="eastAsia" w:ascii="宋体" w:hAnsi="宋体" w:cs="宋体"/>
          <w:sz w:val="28"/>
          <w:szCs w:val="28"/>
          <w:shd w:val="clear" w:color="auto" w:fill="FFFFFF"/>
          <w:lang w:val="en-US" w:eastAsia="zh-CN"/>
        </w:rPr>
        <w:t>75.17万</w:t>
      </w:r>
      <w:r>
        <w:rPr>
          <w:rFonts w:hint="eastAsia" w:ascii="宋体" w:hAnsi="宋体" w:cs="宋体"/>
          <w:sz w:val="28"/>
          <w:szCs w:val="28"/>
          <w:shd w:val="clear" w:color="auto" w:fill="FFFFFF"/>
        </w:rPr>
        <w:t>元，事业收入</w:t>
      </w:r>
      <w:r>
        <w:rPr>
          <w:rFonts w:ascii="宋体" w:hAnsi="宋体" w:cs="宋体"/>
          <w:sz w:val="28"/>
          <w:szCs w:val="28"/>
          <w:shd w:val="clear" w:color="auto" w:fill="FFFFFF"/>
        </w:rPr>
        <w:t>0</w:t>
      </w:r>
      <w:r>
        <w:rPr>
          <w:rFonts w:hint="eastAsia" w:ascii="宋体" w:hAnsi="宋体" w:cs="宋体"/>
          <w:sz w:val="28"/>
          <w:szCs w:val="28"/>
          <w:shd w:val="clear" w:color="auto" w:fill="FFFFFF"/>
        </w:rPr>
        <w:t>元。</w:t>
      </w:r>
    </w:p>
    <w:p>
      <w:pPr>
        <w:pStyle w:val="36"/>
        <w:numPr>
          <w:ilvl w:val="0"/>
          <w:numId w:val="7"/>
        </w:numPr>
        <w:spacing w:line="500" w:lineRule="exact"/>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部门财政资金支出情况。</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20</w:t>
      </w:r>
      <w:r>
        <w:rPr>
          <w:rFonts w:ascii="宋体" w:hAnsi="宋体" w:cs="宋体"/>
          <w:sz w:val="28"/>
          <w:szCs w:val="28"/>
          <w:shd w:val="clear" w:color="auto" w:fill="FFFFFF"/>
        </w:rPr>
        <w:t>21</w:t>
      </w:r>
      <w:r>
        <w:rPr>
          <w:rFonts w:hint="eastAsia" w:ascii="宋体" w:hAnsi="宋体" w:cs="宋体"/>
          <w:sz w:val="28"/>
          <w:szCs w:val="28"/>
          <w:shd w:val="clear" w:color="auto" w:fill="FFFFFF"/>
        </w:rPr>
        <w:t>年本部门财政支出</w:t>
      </w:r>
      <w:r>
        <w:rPr>
          <w:rFonts w:hint="eastAsia" w:ascii="宋体" w:hAnsi="宋体" w:cs="宋体"/>
          <w:sz w:val="28"/>
          <w:szCs w:val="28"/>
          <w:shd w:val="clear" w:color="auto" w:fill="FFFFFF"/>
          <w:lang w:val="en-US" w:eastAsia="zh-CN"/>
        </w:rPr>
        <w:t>2406.95</w:t>
      </w:r>
      <w:r>
        <w:rPr>
          <w:rFonts w:hint="eastAsia" w:ascii="宋体" w:hAnsi="宋体" w:cs="宋体"/>
          <w:sz w:val="28"/>
          <w:szCs w:val="28"/>
          <w:shd w:val="clear" w:color="auto" w:fill="FFFFFF"/>
        </w:rPr>
        <w:t>元，其中工资福利支出</w:t>
      </w:r>
      <w:r>
        <w:rPr>
          <w:rFonts w:hint="eastAsia" w:ascii="宋体" w:hAnsi="宋体" w:cs="宋体"/>
          <w:sz w:val="28"/>
          <w:szCs w:val="28"/>
          <w:shd w:val="clear" w:color="auto" w:fill="FFFFFF"/>
          <w:lang w:val="en-US" w:eastAsia="zh-CN"/>
        </w:rPr>
        <w:t>1446.08万元</w:t>
      </w:r>
      <w:r>
        <w:rPr>
          <w:rFonts w:hint="eastAsia" w:ascii="宋体" w:hAnsi="宋体" w:cs="宋体"/>
          <w:sz w:val="28"/>
          <w:szCs w:val="28"/>
          <w:shd w:val="clear" w:color="auto" w:fill="FFFFFF"/>
        </w:rPr>
        <w:t>，商品和服务支出</w:t>
      </w:r>
      <w:r>
        <w:rPr>
          <w:rFonts w:hint="eastAsia" w:ascii="宋体" w:hAnsi="宋体" w:cs="宋体"/>
          <w:sz w:val="28"/>
          <w:szCs w:val="28"/>
          <w:shd w:val="clear" w:color="auto" w:fill="FFFFFF"/>
          <w:lang w:val="en-US" w:eastAsia="zh-CN"/>
        </w:rPr>
        <w:t>307.万17</w:t>
      </w:r>
      <w:r>
        <w:rPr>
          <w:rFonts w:hint="eastAsia" w:ascii="宋体" w:hAnsi="宋体" w:cs="宋体"/>
          <w:sz w:val="28"/>
          <w:szCs w:val="28"/>
          <w:shd w:val="clear" w:color="auto" w:fill="FFFFFF"/>
        </w:rPr>
        <w:t>元，对个人和家庭的补助支出元</w:t>
      </w:r>
      <w:r>
        <w:rPr>
          <w:rFonts w:hint="eastAsia" w:ascii="宋体" w:hAnsi="宋体" w:cs="宋体"/>
          <w:sz w:val="28"/>
          <w:szCs w:val="28"/>
          <w:shd w:val="clear" w:color="auto" w:fill="FFFFFF"/>
          <w:lang w:val="en-US" w:eastAsia="zh-CN"/>
        </w:rPr>
        <w:t>442.47万元</w:t>
      </w:r>
      <w:r>
        <w:rPr>
          <w:rFonts w:hint="eastAsia" w:ascii="宋体" w:hAnsi="宋体" w:cs="宋体"/>
          <w:sz w:val="28"/>
          <w:szCs w:val="28"/>
          <w:shd w:val="clear" w:color="auto" w:fill="FFFFFF"/>
        </w:rPr>
        <w:t>，资本性支出</w:t>
      </w:r>
      <w:r>
        <w:rPr>
          <w:rFonts w:hint="eastAsia" w:ascii="宋体" w:hAnsi="宋体" w:cs="宋体"/>
          <w:sz w:val="28"/>
          <w:szCs w:val="28"/>
          <w:shd w:val="clear" w:color="auto" w:fill="FFFFFF"/>
          <w:lang w:val="en-US" w:eastAsia="zh-CN"/>
        </w:rPr>
        <w:t>110.73万</w:t>
      </w:r>
      <w:r>
        <w:rPr>
          <w:rFonts w:hint="eastAsia" w:ascii="宋体" w:hAnsi="宋体" w:cs="宋体"/>
          <w:sz w:val="28"/>
          <w:szCs w:val="28"/>
          <w:shd w:val="clear" w:color="auto" w:fill="FFFFFF"/>
        </w:rPr>
        <w:t>元。202</w:t>
      </w:r>
      <w:r>
        <w:rPr>
          <w:rFonts w:ascii="宋体" w:hAnsi="宋体" w:cs="宋体"/>
          <w:sz w:val="28"/>
          <w:szCs w:val="28"/>
          <w:shd w:val="clear" w:color="auto" w:fill="FFFFFF"/>
        </w:rPr>
        <w:t>1</w:t>
      </w:r>
      <w:r>
        <w:rPr>
          <w:rFonts w:hint="eastAsia" w:ascii="宋体" w:hAnsi="宋体" w:cs="宋体"/>
          <w:sz w:val="28"/>
          <w:szCs w:val="28"/>
          <w:shd w:val="clear" w:color="auto" w:fill="FFFFFF"/>
        </w:rPr>
        <w:t>年末</w:t>
      </w:r>
      <w:r>
        <w:rPr>
          <w:rFonts w:ascii="宋体" w:hAnsi="宋体" w:cs="宋体"/>
          <w:sz w:val="28"/>
          <w:szCs w:val="28"/>
          <w:shd w:val="clear" w:color="auto" w:fill="FFFFFF"/>
        </w:rPr>
        <w:t>财</w:t>
      </w:r>
      <w:r>
        <w:rPr>
          <w:rFonts w:hint="eastAsia" w:ascii="宋体" w:hAnsi="宋体" w:cs="宋体"/>
          <w:sz w:val="28"/>
          <w:szCs w:val="28"/>
          <w:shd w:val="clear" w:color="auto" w:fill="FFFFFF"/>
        </w:rPr>
        <w:t>返</w:t>
      </w:r>
      <w:r>
        <w:rPr>
          <w:rFonts w:ascii="宋体" w:hAnsi="宋体" w:cs="宋体"/>
          <w:sz w:val="28"/>
          <w:szCs w:val="28"/>
          <w:shd w:val="clear" w:color="auto" w:fill="FFFFFF"/>
        </w:rPr>
        <w:t>资金</w:t>
      </w:r>
      <w:r>
        <w:rPr>
          <w:rFonts w:hint="eastAsia" w:ascii="宋体" w:hAnsi="宋体" w:cs="宋体"/>
          <w:sz w:val="28"/>
          <w:szCs w:val="28"/>
          <w:shd w:val="clear" w:color="auto" w:fill="FFFFFF"/>
          <w:lang w:val="en-US" w:eastAsia="zh-CN"/>
        </w:rPr>
        <w:t>0</w:t>
      </w:r>
      <w:r>
        <w:rPr>
          <w:rFonts w:hint="eastAsia" w:ascii="宋体" w:hAnsi="宋体" w:cs="宋体"/>
          <w:sz w:val="28"/>
          <w:szCs w:val="28"/>
          <w:shd w:val="clear" w:color="auto" w:fill="FFFFFF"/>
        </w:rPr>
        <w:t>元</w:t>
      </w:r>
      <w:r>
        <w:rPr>
          <w:rFonts w:ascii="宋体" w:hAnsi="宋体" w:cs="宋体"/>
          <w:sz w:val="28"/>
          <w:szCs w:val="28"/>
          <w:shd w:val="clear" w:color="auto" w:fill="FFFFFF"/>
        </w:rPr>
        <w:t>。</w:t>
      </w:r>
    </w:p>
    <w:p>
      <w:pPr>
        <w:spacing w:line="500" w:lineRule="exact"/>
        <w:ind w:firstLine="562" w:firstLineChars="200"/>
        <w:rPr>
          <w:rFonts w:ascii="宋体" w:hAnsi="宋体" w:cs="宋体"/>
          <w:b/>
          <w:sz w:val="28"/>
          <w:szCs w:val="28"/>
          <w:shd w:val="clear" w:color="auto" w:fill="FFFFFF"/>
        </w:rPr>
      </w:pPr>
      <w:r>
        <w:rPr>
          <w:rFonts w:hint="eastAsia" w:ascii="宋体" w:hAnsi="宋体" w:cs="宋体"/>
          <w:b/>
          <w:sz w:val="28"/>
          <w:szCs w:val="28"/>
          <w:shd w:val="clear" w:color="auto" w:fill="FFFFFF"/>
        </w:rPr>
        <w:t>三</w:t>
      </w:r>
      <w:r>
        <w:rPr>
          <w:rFonts w:ascii="宋体" w:hAnsi="宋体" w:cs="宋体"/>
          <w:b/>
          <w:sz w:val="28"/>
          <w:szCs w:val="28"/>
          <w:shd w:val="clear" w:color="auto" w:fill="FFFFFF"/>
        </w:rPr>
        <w:t>、</w:t>
      </w:r>
      <w:r>
        <w:rPr>
          <w:rFonts w:hint="eastAsia" w:ascii="宋体" w:hAnsi="宋体" w:cs="宋体"/>
          <w:b/>
          <w:sz w:val="28"/>
          <w:szCs w:val="28"/>
          <w:shd w:val="clear" w:color="auto" w:fill="FFFFFF"/>
        </w:rPr>
        <w:t>部门整体支出预算绩效管理情况</w:t>
      </w:r>
    </w:p>
    <w:p>
      <w:pPr>
        <w:pStyle w:val="35"/>
        <w:spacing w:line="500" w:lineRule="exact"/>
        <w:ind w:left="637" w:firstLine="0"/>
        <w:rPr>
          <w:rFonts w:ascii="宋体" w:hAnsi="宋体" w:eastAsia="宋体" w:cs="宋体"/>
          <w:sz w:val="28"/>
          <w:szCs w:val="28"/>
          <w:shd w:val="clear" w:color="auto" w:fill="FFFFFF"/>
        </w:rPr>
      </w:pPr>
      <w:r>
        <w:rPr>
          <w:rFonts w:hint="eastAsia" w:ascii="宋体" w:hAnsi="宋体" w:eastAsia="宋体" w:cs="宋体"/>
          <w:sz w:val="28"/>
          <w:szCs w:val="28"/>
          <w:shd w:val="clear" w:color="auto" w:fill="FFFFFF"/>
        </w:rPr>
        <w:t>（一</w:t>
      </w:r>
      <w:r>
        <w:rPr>
          <w:rFonts w:ascii="宋体" w:hAnsi="宋体" w:eastAsia="宋体" w:cs="宋体"/>
          <w:sz w:val="28"/>
          <w:szCs w:val="28"/>
          <w:shd w:val="clear" w:color="auto" w:fill="FFFFFF"/>
        </w:rPr>
        <w:t>）</w:t>
      </w:r>
      <w:r>
        <w:rPr>
          <w:rFonts w:hint="eastAsia" w:ascii="宋体" w:hAnsi="宋体" w:eastAsia="宋体" w:cs="宋体"/>
          <w:sz w:val="28"/>
          <w:szCs w:val="28"/>
          <w:shd w:val="clear" w:color="auto" w:fill="FFFFFF"/>
        </w:rPr>
        <w:t>部门财政支出管理情况</w:t>
      </w:r>
    </w:p>
    <w:p>
      <w:pPr>
        <w:widowControl/>
        <w:adjustRightInd w:val="0"/>
        <w:snapToGrid w:val="0"/>
        <w:spacing w:line="580" w:lineRule="exact"/>
        <w:ind w:firstLine="560" w:firstLineChars="200"/>
        <w:contextualSpacing/>
        <w:jc w:val="left"/>
        <w:rPr>
          <w:rFonts w:ascii="宋体" w:hAnsi="宋体" w:cs="宋体"/>
          <w:sz w:val="28"/>
          <w:szCs w:val="28"/>
          <w:shd w:val="clear" w:color="auto" w:fill="FFFFFF"/>
        </w:rPr>
      </w:pPr>
      <w:r>
        <w:rPr>
          <w:rFonts w:hint="eastAsia" w:ascii="宋体" w:hAnsi="宋体" w:cs="宋体"/>
          <w:sz w:val="28"/>
          <w:szCs w:val="28"/>
          <w:shd w:val="clear" w:color="auto" w:fill="FFFFFF"/>
        </w:rPr>
        <w:t>（一）部门预算管理。</w:t>
      </w:r>
    </w:p>
    <w:p>
      <w:pPr>
        <w:pStyle w:val="36"/>
        <w:spacing w:line="500" w:lineRule="exact"/>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1、我校严格贯彻落实《预算法》、《会计法》、《事业单位会计制度》，把预决算编制作为财务管理工作的重要内容精心组织，抓好落实。按照上级部门编制通知的相关要求，遵循真实性、准确性、科学性，绩效性的原则，按时完成报送预决算编制报表。</w:t>
      </w:r>
    </w:p>
    <w:p>
      <w:pPr>
        <w:pStyle w:val="36"/>
        <w:spacing w:line="500" w:lineRule="exact"/>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2、执行管理情况。</w:t>
      </w:r>
    </w:p>
    <w:p>
      <w:pPr>
        <w:pStyle w:val="12"/>
        <w:shd w:val="clear" w:color="auto" w:fill="FFFFFF"/>
        <w:spacing w:before="0" w:beforeAutospacing="0" w:after="0" w:afterAutospacing="0" w:line="500" w:lineRule="exact"/>
        <w:ind w:firstLine="646" w:firstLineChars="231"/>
        <w:rPr>
          <w:kern w:val="2"/>
          <w:sz w:val="28"/>
          <w:szCs w:val="28"/>
          <w:shd w:val="clear" w:color="auto" w:fill="FFFFFF"/>
        </w:rPr>
      </w:pPr>
      <w:r>
        <w:rPr>
          <w:rFonts w:hint="eastAsia"/>
          <w:kern w:val="2"/>
          <w:sz w:val="28"/>
          <w:szCs w:val="28"/>
          <w:shd w:val="clear" w:color="auto" w:fill="FFFFFF"/>
        </w:rPr>
        <w:t>我校在资金使用上，严格遵守各项财经法规和财务管理制度规定进行管理，资金拨付有完整的审批程序和手续，支出符合部门预算批复的用途，无截留、挤占、挪用、虚列支出等情况。</w:t>
      </w:r>
    </w:p>
    <w:p>
      <w:pPr>
        <w:pStyle w:val="12"/>
        <w:shd w:val="clear" w:color="auto" w:fill="FFFFFF"/>
        <w:spacing w:before="0" w:beforeAutospacing="0" w:after="0" w:afterAutospacing="0" w:line="500" w:lineRule="exact"/>
        <w:ind w:firstLine="646" w:firstLineChars="231"/>
        <w:rPr>
          <w:kern w:val="2"/>
          <w:sz w:val="28"/>
          <w:szCs w:val="28"/>
          <w:shd w:val="clear" w:color="auto" w:fill="FFFFFF"/>
        </w:rPr>
      </w:pPr>
      <w:r>
        <w:rPr>
          <w:rFonts w:hint="eastAsia"/>
          <w:kern w:val="2"/>
          <w:sz w:val="28"/>
          <w:szCs w:val="28"/>
          <w:shd w:val="clear" w:color="auto" w:fill="FFFFFF"/>
        </w:rPr>
        <w:t>20</w:t>
      </w:r>
      <w:r>
        <w:rPr>
          <w:kern w:val="2"/>
          <w:sz w:val="28"/>
          <w:szCs w:val="28"/>
          <w:shd w:val="clear" w:color="auto" w:fill="FFFFFF"/>
        </w:rPr>
        <w:t>21</w:t>
      </w:r>
      <w:r>
        <w:rPr>
          <w:rFonts w:hint="eastAsia"/>
          <w:kern w:val="2"/>
          <w:sz w:val="28"/>
          <w:szCs w:val="28"/>
          <w:shd w:val="clear" w:color="auto" w:fill="FFFFFF"/>
        </w:rPr>
        <w:t>年学校继续贯彻落实中央八项规定、省委、省政府等关于厉行节约等有关文件精神，严格控制“三公”经费。20</w:t>
      </w:r>
      <w:r>
        <w:rPr>
          <w:kern w:val="2"/>
          <w:sz w:val="28"/>
          <w:szCs w:val="28"/>
          <w:shd w:val="clear" w:color="auto" w:fill="FFFFFF"/>
        </w:rPr>
        <w:t>21</w:t>
      </w:r>
      <w:r>
        <w:rPr>
          <w:rFonts w:hint="eastAsia"/>
          <w:kern w:val="2"/>
          <w:sz w:val="28"/>
          <w:szCs w:val="28"/>
          <w:shd w:val="clear" w:color="auto" w:fill="FFFFFF"/>
        </w:rPr>
        <w:t>年我校三公经费预算为</w:t>
      </w:r>
      <w:r>
        <w:rPr>
          <w:rFonts w:hint="eastAsia"/>
          <w:kern w:val="2"/>
          <w:sz w:val="28"/>
          <w:szCs w:val="28"/>
          <w:shd w:val="clear" w:color="auto" w:fill="FFFFFF"/>
          <w:lang w:val="en-US" w:eastAsia="zh-CN"/>
        </w:rPr>
        <w:t>5000</w:t>
      </w:r>
      <w:r>
        <w:rPr>
          <w:rFonts w:hint="eastAsia"/>
          <w:kern w:val="2"/>
          <w:sz w:val="28"/>
          <w:szCs w:val="28"/>
          <w:shd w:val="clear" w:color="auto" w:fill="FFFFFF"/>
        </w:rPr>
        <w:t>元，20</w:t>
      </w:r>
      <w:r>
        <w:rPr>
          <w:kern w:val="2"/>
          <w:sz w:val="28"/>
          <w:szCs w:val="28"/>
          <w:shd w:val="clear" w:color="auto" w:fill="FFFFFF"/>
        </w:rPr>
        <w:t>21</w:t>
      </w:r>
      <w:r>
        <w:rPr>
          <w:rFonts w:hint="eastAsia"/>
          <w:kern w:val="2"/>
          <w:sz w:val="28"/>
          <w:szCs w:val="28"/>
          <w:shd w:val="clear" w:color="auto" w:fill="FFFFFF"/>
        </w:rPr>
        <w:t>年</w:t>
      </w:r>
      <w:r>
        <w:rPr>
          <w:kern w:val="2"/>
          <w:sz w:val="28"/>
          <w:szCs w:val="28"/>
          <w:shd w:val="clear" w:color="auto" w:fill="FFFFFF"/>
        </w:rPr>
        <w:t>“</w:t>
      </w:r>
      <w:r>
        <w:rPr>
          <w:rFonts w:hint="eastAsia"/>
          <w:kern w:val="2"/>
          <w:sz w:val="28"/>
          <w:szCs w:val="28"/>
          <w:shd w:val="clear" w:color="auto" w:fill="FFFFFF"/>
        </w:rPr>
        <w:t>三公</w:t>
      </w:r>
      <w:r>
        <w:rPr>
          <w:kern w:val="2"/>
          <w:sz w:val="28"/>
          <w:szCs w:val="28"/>
          <w:shd w:val="clear" w:color="auto" w:fill="FFFFFF"/>
        </w:rPr>
        <w:t>”</w:t>
      </w:r>
      <w:r>
        <w:rPr>
          <w:rFonts w:hint="eastAsia"/>
          <w:kern w:val="2"/>
          <w:sz w:val="28"/>
          <w:szCs w:val="28"/>
          <w:shd w:val="clear" w:color="auto" w:fill="FFFFFF"/>
        </w:rPr>
        <w:t>经费支出为0元。</w:t>
      </w:r>
    </w:p>
    <w:p>
      <w:pPr>
        <w:pStyle w:val="12"/>
        <w:shd w:val="clear" w:color="auto" w:fill="FFFFFF"/>
        <w:spacing w:before="0" w:beforeAutospacing="0" w:after="0" w:afterAutospacing="0" w:line="500" w:lineRule="exact"/>
        <w:ind w:firstLine="646" w:firstLineChars="231"/>
        <w:rPr>
          <w:kern w:val="2"/>
          <w:sz w:val="28"/>
          <w:szCs w:val="28"/>
          <w:shd w:val="clear" w:color="auto" w:fill="FFFFFF"/>
        </w:rPr>
      </w:pPr>
      <w:r>
        <w:rPr>
          <w:rFonts w:hint="eastAsia"/>
          <w:kern w:val="2"/>
          <w:sz w:val="28"/>
          <w:szCs w:val="28"/>
          <w:shd w:val="clear" w:color="auto" w:fill="FFFFFF"/>
        </w:rPr>
        <w:t>20</w:t>
      </w:r>
      <w:r>
        <w:rPr>
          <w:kern w:val="2"/>
          <w:sz w:val="28"/>
          <w:szCs w:val="28"/>
          <w:shd w:val="clear" w:color="auto" w:fill="FFFFFF"/>
        </w:rPr>
        <w:t>21</w:t>
      </w:r>
      <w:r>
        <w:rPr>
          <w:rFonts w:hint="eastAsia"/>
          <w:kern w:val="2"/>
          <w:sz w:val="28"/>
          <w:szCs w:val="28"/>
          <w:shd w:val="clear" w:color="auto" w:fill="FFFFFF"/>
        </w:rPr>
        <w:t>年财返额度</w:t>
      </w:r>
      <w:r>
        <w:rPr>
          <w:rFonts w:hint="eastAsia"/>
          <w:kern w:val="2"/>
          <w:sz w:val="28"/>
          <w:szCs w:val="28"/>
          <w:shd w:val="clear" w:color="auto" w:fill="FFFFFF"/>
          <w:lang w:val="en-US" w:eastAsia="zh-CN"/>
        </w:rPr>
        <w:t>0</w:t>
      </w:r>
      <w:r>
        <w:rPr>
          <w:rFonts w:hint="eastAsia"/>
          <w:kern w:val="2"/>
          <w:sz w:val="28"/>
          <w:szCs w:val="28"/>
          <w:shd w:val="clear" w:color="auto" w:fill="FFFFFF"/>
        </w:rPr>
        <w:t>元。</w:t>
      </w:r>
    </w:p>
    <w:p>
      <w:pPr>
        <w:pStyle w:val="12"/>
        <w:shd w:val="clear" w:color="auto" w:fill="FFFFFF"/>
        <w:spacing w:before="0" w:beforeAutospacing="0" w:after="0" w:afterAutospacing="0" w:line="500" w:lineRule="exact"/>
        <w:ind w:firstLine="646" w:firstLineChars="231"/>
        <w:rPr>
          <w:kern w:val="2"/>
          <w:sz w:val="28"/>
          <w:szCs w:val="28"/>
          <w:shd w:val="clear" w:color="auto" w:fill="FFFFFF"/>
        </w:rPr>
      </w:pPr>
      <w:r>
        <w:rPr>
          <w:rFonts w:hint="eastAsia"/>
          <w:kern w:val="2"/>
          <w:sz w:val="28"/>
          <w:szCs w:val="28"/>
          <w:shd w:val="clear" w:color="auto" w:fill="FFFFFF"/>
        </w:rPr>
        <w:t>3、综合管理情况。</w:t>
      </w:r>
    </w:p>
    <w:p>
      <w:pPr>
        <w:pStyle w:val="33"/>
        <w:spacing w:line="500" w:lineRule="exact"/>
        <w:ind w:firstLine="560"/>
        <w:rPr>
          <w:rFonts w:ascii="宋体" w:hAnsi="宋体" w:eastAsia="宋体" w:cs="宋体"/>
          <w:sz w:val="28"/>
          <w:szCs w:val="28"/>
          <w:shd w:val="clear" w:color="auto" w:fill="FFFFFF"/>
        </w:rPr>
      </w:pPr>
      <w:r>
        <w:rPr>
          <w:rFonts w:hint="eastAsia" w:ascii="宋体" w:hAnsi="宋体" w:eastAsia="宋体" w:cs="宋体"/>
          <w:sz w:val="28"/>
          <w:szCs w:val="28"/>
          <w:shd w:val="clear" w:color="auto" w:fill="FFFFFF"/>
        </w:rPr>
        <w:t xml:space="preserve">本部门各单位制定有财务管理制度、内控制度及后勤工作管理制度，细化了财务工作，明确了财务管理人员各自的责任，规章制度建立健全，制度执行严格合规，管理规范。会计核算符合相关规定，做到了资金的专款专用，资金支付依据和开支标准合法合规，账务处理正确，核算准确，会计科目使用完整正确，无乱用会计科目的现象。严格按政府采购相关规定进行采购。 </w:t>
      </w:r>
    </w:p>
    <w:p>
      <w:pPr>
        <w:pStyle w:val="33"/>
        <w:spacing w:line="500" w:lineRule="exact"/>
        <w:ind w:firstLine="560"/>
        <w:rPr>
          <w:rFonts w:ascii="宋体" w:hAnsi="宋体" w:eastAsia="宋体" w:cs="宋体"/>
          <w:sz w:val="28"/>
          <w:szCs w:val="28"/>
          <w:shd w:val="clear" w:color="auto" w:fill="FFFFFF"/>
        </w:rPr>
      </w:pPr>
      <w:r>
        <w:rPr>
          <w:rFonts w:ascii="宋体" w:hAnsi="宋体" w:eastAsia="宋体" w:cs="宋体"/>
          <w:sz w:val="28"/>
          <w:szCs w:val="28"/>
          <w:shd w:val="clear" w:color="auto" w:fill="FFFFFF"/>
        </w:rPr>
        <w:t>4</w:t>
      </w:r>
      <w:r>
        <w:rPr>
          <w:rFonts w:hint="eastAsia" w:ascii="宋体" w:hAnsi="宋体" w:eastAsia="宋体" w:cs="宋体"/>
          <w:sz w:val="28"/>
          <w:szCs w:val="28"/>
          <w:shd w:val="clear" w:color="auto" w:fill="FFFFFF"/>
        </w:rPr>
        <w:t>、整体绩效。</w:t>
      </w:r>
    </w:p>
    <w:p>
      <w:pPr>
        <w:pStyle w:val="36"/>
        <w:spacing w:line="500" w:lineRule="exact"/>
        <w:ind w:firstLine="560" w:firstLineChars="200"/>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本部门已按照财政局要求强化绩效管理理念，秉承客观公正、实事求是的原则开展了单位自评工作，把好的经验用于本校以后的工作中，力争使财政资金在更大程度上发挥积极的作用。</w:t>
      </w:r>
    </w:p>
    <w:p>
      <w:pPr>
        <w:pStyle w:val="36"/>
        <w:spacing w:line="500" w:lineRule="exact"/>
        <w:ind w:firstLine="560" w:firstLineChars="200"/>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（二）结果应用情况</w:t>
      </w:r>
    </w:p>
    <w:p>
      <w:pPr>
        <w:pStyle w:val="36"/>
        <w:spacing w:line="500" w:lineRule="exact"/>
        <w:ind w:firstLine="560" w:firstLineChars="200"/>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2021年我校全面完成了区</w:t>
      </w:r>
      <w:r>
        <w:rPr>
          <w:rFonts w:ascii="宋体" w:hAnsi="宋体" w:eastAsia="宋体" w:cs="宋体"/>
          <w:sz w:val="28"/>
          <w:szCs w:val="28"/>
          <w:shd w:val="clear" w:color="auto" w:fill="FFFFFF"/>
          <w:lang w:val="en-US"/>
        </w:rPr>
        <w:t>教育局和区财</w:t>
      </w:r>
      <w:r>
        <w:rPr>
          <w:rFonts w:hint="eastAsia" w:ascii="宋体" w:hAnsi="宋体" w:eastAsia="宋体" w:cs="宋体"/>
          <w:sz w:val="28"/>
          <w:szCs w:val="28"/>
          <w:shd w:val="clear" w:color="auto" w:fill="FFFFFF"/>
          <w:lang w:val="en-US"/>
        </w:rPr>
        <w:t>政局下达的各项工作目标任务，依法执行各项预</w:t>
      </w:r>
      <w:r>
        <w:rPr>
          <w:rFonts w:ascii="宋体" w:hAnsi="宋体" w:eastAsia="宋体" w:cs="宋体"/>
          <w:sz w:val="28"/>
          <w:szCs w:val="28"/>
          <w:shd w:val="clear" w:color="auto" w:fill="FFFFFF"/>
          <w:lang w:val="en-US"/>
        </w:rPr>
        <w:t>算经费的使用</w:t>
      </w:r>
      <w:r>
        <w:rPr>
          <w:rFonts w:hint="eastAsia" w:ascii="宋体" w:hAnsi="宋体" w:eastAsia="宋体" w:cs="宋体"/>
          <w:sz w:val="28"/>
          <w:szCs w:val="28"/>
          <w:shd w:val="clear" w:color="auto" w:fill="FFFFFF"/>
          <w:lang w:val="en-US"/>
        </w:rPr>
        <w:t>，营造良好教育环境，保障校园师生及校产安全，以利正常教育教学秩序开展。维护社会稳定等方面发挥着重要作用，取得了良好的社会效益。为做好财务工作，我单位主要从以下几个方面开展工作：</w:t>
      </w:r>
    </w:p>
    <w:p>
      <w:pPr>
        <w:widowControl/>
        <w:ind w:firstLine="643"/>
        <w:rPr>
          <w:rFonts w:ascii="宋体" w:hAnsi="宋体" w:cs="宋体"/>
          <w:sz w:val="28"/>
          <w:szCs w:val="28"/>
          <w:shd w:val="clear" w:color="auto" w:fill="FFFFFF"/>
        </w:rPr>
      </w:pPr>
      <w:r>
        <w:rPr>
          <w:rFonts w:hint="eastAsia" w:ascii="宋体" w:hAnsi="宋体" w:cs="宋体"/>
          <w:sz w:val="28"/>
          <w:szCs w:val="28"/>
          <w:shd w:val="clear" w:color="auto" w:fill="FFFFFF"/>
        </w:rPr>
        <w:t>1、严格执行财务管理制度。严格执行中央和上级有关部门出台的财经纪律相关规定，严控”三公经费”、会议费、培训费、差旅费等支出。严格报账程序，严把票据审核关，减少现金支付。认真做好会计核算，做到账账相符、账实相符。</w:t>
      </w:r>
    </w:p>
    <w:p>
      <w:pPr>
        <w:widowControl/>
        <w:ind w:firstLine="643"/>
        <w:rPr>
          <w:rFonts w:ascii="宋体" w:hAnsi="宋体" w:cs="宋体"/>
          <w:sz w:val="28"/>
          <w:szCs w:val="28"/>
          <w:shd w:val="clear" w:color="auto" w:fill="FFFFFF"/>
        </w:rPr>
      </w:pPr>
      <w:r>
        <w:rPr>
          <w:rFonts w:hint="eastAsia" w:ascii="宋体" w:hAnsi="宋体" w:cs="宋体"/>
          <w:sz w:val="28"/>
          <w:szCs w:val="28"/>
          <w:shd w:val="clear" w:color="auto" w:fill="FFFFFF"/>
        </w:rPr>
        <w:t>2、加强政府采购管理。严格按照《政府采购法》和《政府采购法实施条例》等相关管理规定，根据省采购目录和财政部门预算管理要求，编制政府采购计划，将采购项目全部纳入部门预算管理。</w:t>
      </w:r>
    </w:p>
    <w:p>
      <w:pPr>
        <w:widowControl/>
        <w:ind w:firstLine="643"/>
        <w:rPr>
          <w:rFonts w:ascii="宋体" w:hAnsi="宋体" w:cs="宋体"/>
          <w:sz w:val="28"/>
          <w:szCs w:val="28"/>
          <w:shd w:val="clear" w:color="auto" w:fill="FFFFFF"/>
        </w:rPr>
      </w:pPr>
      <w:r>
        <w:rPr>
          <w:rFonts w:hint="eastAsia" w:ascii="宋体" w:hAnsi="宋体" w:cs="宋体"/>
          <w:sz w:val="28"/>
          <w:szCs w:val="28"/>
          <w:shd w:val="clear" w:color="auto" w:fill="FFFFFF"/>
        </w:rPr>
        <w:t>3、加强固定资产管理。严格按照资产管理家具配置标准、新增资产配置流程、处置审批制度等相关文件要求，做好固定资产采买、报废、调整等相关管理工作。部门资产录入固定资产管理系统，建资产管理卡片，及时更新资产管理信息系统数据，做到账实相符、账卡相符。</w:t>
      </w:r>
    </w:p>
    <w:p>
      <w:pPr>
        <w:widowControl/>
        <w:ind w:firstLine="643"/>
        <w:rPr>
          <w:rFonts w:ascii="宋体" w:hAnsi="宋体" w:cs="宋体"/>
          <w:sz w:val="28"/>
          <w:szCs w:val="28"/>
          <w:shd w:val="clear" w:color="auto" w:fill="FFFFFF"/>
        </w:rPr>
      </w:pPr>
      <w:r>
        <w:rPr>
          <w:rFonts w:hint="eastAsia" w:ascii="宋体" w:hAnsi="宋体" w:cs="宋体"/>
          <w:sz w:val="28"/>
          <w:szCs w:val="28"/>
          <w:shd w:val="clear" w:color="auto" w:fill="FFFFFF"/>
        </w:rPr>
        <w:t>4、绩效评价情况。按照年初绩效目标要求，对照检查，我会完成了年初绩效预算的目标，达到了预期效果，社会满意度达到9</w:t>
      </w:r>
      <w:r>
        <w:rPr>
          <w:rFonts w:ascii="宋体" w:hAnsi="宋体" w:cs="宋体"/>
          <w:sz w:val="28"/>
          <w:szCs w:val="28"/>
          <w:shd w:val="clear" w:color="auto" w:fill="FFFFFF"/>
        </w:rPr>
        <w:t>5</w:t>
      </w:r>
      <w:r>
        <w:rPr>
          <w:rFonts w:hint="eastAsia" w:ascii="宋体" w:hAnsi="宋体" w:cs="宋体"/>
          <w:sz w:val="28"/>
          <w:szCs w:val="28"/>
          <w:shd w:val="clear" w:color="auto" w:fill="FFFFFF"/>
        </w:rPr>
        <w:t>%以上，实现了进一步加快我校发展，出成绩、出人才的目标。我校严格按照部门整体绩效自评情况要求进行评价并将自行组织评价的情况向社会公开。</w:t>
      </w:r>
    </w:p>
    <w:p>
      <w:pPr>
        <w:widowControl/>
        <w:ind w:firstLine="643"/>
        <w:rPr>
          <w:rFonts w:ascii="宋体" w:hAnsi="宋体" w:cs="宋体"/>
          <w:b/>
          <w:sz w:val="28"/>
          <w:szCs w:val="28"/>
          <w:shd w:val="clear" w:color="auto" w:fill="FFFFFF"/>
        </w:rPr>
      </w:pPr>
      <w:r>
        <w:rPr>
          <w:rFonts w:hint="eastAsia" w:ascii="宋体" w:hAnsi="宋体" w:cs="宋体"/>
          <w:b/>
          <w:sz w:val="28"/>
          <w:szCs w:val="28"/>
          <w:shd w:val="clear" w:color="auto" w:fill="FFFFFF"/>
        </w:rPr>
        <w:t>四、评价结论及建议</w:t>
      </w:r>
    </w:p>
    <w:p>
      <w:pPr>
        <w:pStyle w:val="36"/>
        <w:spacing w:line="500" w:lineRule="exact"/>
        <w:ind w:firstLine="560" w:firstLineChars="200"/>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(一)</w:t>
      </w:r>
      <w:r>
        <w:rPr>
          <w:rFonts w:ascii="宋体" w:hAnsi="宋体" w:eastAsia="宋体" w:cs="宋体"/>
          <w:sz w:val="28"/>
          <w:szCs w:val="28"/>
          <w:shd w:val="clear" w:color="auto" w:fill="FFFFFF"/>
          <w:lang w:val="en-US"/>
        </w:rPr>
        <w:t>、</w:t>
      </w:r>
      <w:r>
        <w:rPr>
          <w:rFonts w:hint="eastAsia" w:ascii="宋体" w:hAnsi="宋体" w:eastAsia="宋体" w:cs="宋体"/>
          <w:sz w:val="28"/>
          <w:szCs w:val="28"/>
          <w:shd w:val="clear" w:color="auto" w:fill="FFFFFF"/>
          <w:lang w:val="en-US"/>
        </w:rPr>
        <w:t>评价结论。</w:t>
      </w:r>
    </w:p>
    <w:p>
      <w:pPr>
        <w:pStyle w:val="36"/>
        <w:spacing w:line="500" w:lineRule="exact"/>
        <w:ind w:firstLine="560" w:firstLineChars="200"/>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我校支出绩效总体良好，各项目标达到了相应时期执行进度，各项专项经费按预算实施，使财政收支预算执行都得了良好的制度保障和实施效果。</w:t>
      </w:r>
    </w:p>
    <w:p>
      <w:pPr>
        <w:pStyle w:val="36"/>
        <w:spacing w:line="500" w:lineRule="exact"/>
        <w:ind w:left="560" w:firstLine="0"/>
        <w:rPr>
          <w:rFonts w:ascii="宋体" w:hAnsi="宋体" w:cs="宋体"/>
          <w:sz w:val="28"/>
          <w:szCs w:val="28"/>
          <w:shd w:val="clear" w:color="auto" w:fill="FFFFFF"/>
        </w:rPr>
      </w:pPr>
      <w:r>
        <w:rPr>
          <w:rFonts w:hint="eastAsia" w:ascii="宋体" w:hAnsi="宋体" w:eastAsia="宋体" w:cs="宋体"/>
          <w:sz w:val="28"/>
          <w:szCs w:val="28"/>
          <w:shd w:val="clear" w:color="auto" w:fill="FFFFFF"/>
          <w:lang w:val="en-US"/>
        </w:rPr>
        <w:t>（二）存在问题。</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lang w:val="en-US" w:eastAsia="zh-CN"/>
        </w:rPr>
        <w:t>1</w:t>
      </w:r>
      <w:r>
        <w:rPr>
          <w:rFonts w:hint="eastAsia" w:ascii="宋体" w:hAnsi="宋体" w:cs="宋体"/>
          <w:sz w:val="28"/>
          <w:szCs w:val="28"/>
          <w:shd w:val="clear" w:color="auto" w:fill="FFFFFF"/>
        </w:rPr>
        <w:t>、受益人员满意度未达到100%。</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（三）改进建议。</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1、认真做财政资金预算，力争使用预算执行率等1。</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2、努力做好学校的各项工作，力争让受益人员满意度未达到100%。</w:t>
      </w:r>
    </w:p>
    <w:p>
      <w:pPr>
        <w:pStyle w:val="2"/>
        <w:spacing w:before="93"/>
      </w:pPr>
    </w:p>
    <w:p>
      <w:pPr>
        <w:pStyle w:val="2"/>
        <w:spacing w:before="93"/>
      </w:pPr>
    </w:p>
    <w:p>
      <w:pPr>
        <w:pStyle w:val="2"/>
        <w:spacing w:before="93"/>
      </w:pPr>
    </w:p>
    <w:p>
      <w:pPr>
        <w:pStyle w:val="2"/>
        <w:spacing w:before="93"/>
      </w:pPr>
    </w:p>
    <w:p>
      <w:pPr>
        <w:pStyle w:val="2"/>
        <w:spacing w:before="93"/>
      </w:pPr>
    </w:p>
    <w:p>
      <w:pPr>
        <w:pStyle w:val="2"/>
        <w:spacing w:before="93"/>
      </w:pPr>
    </w:p>
    <w:p>
      <w:pPr>
        <w:pStyle w:val="2"/>
        <w:spacing w:before="93"/>
      </w:pPr>
    </w:p>
    <w:p>
      <w:pPr>
        <w:pStyle w:val="2"/>
        <w:spacing w:before="93"/>
        <w:rPr>
          <w:rFonts w:ascii="仿宋" w:hAnsi="仿宋" w:eastAsia="仿宋"/>
          <w:b/>
          <w:sz w:val="32"/>
          <w:szCs w:val="32"/>
        </w:rPr>
      </w:pPr>
      <w:r>
        <w:rPr>
          <w:rFonts w:hint="eastAsia" w:ascii="仿宋" w:hAnsi="仿宋" w:eastAsia="仿宋"/>
          <w:b/>
          <w:sz w:val="32"/>
          <w:szCs w:val="32"/>
        </w:rPr>
        <w:t>附件2</w:t>
      </w:r>
    </w:p>
    <w:p>
      <w:pPr>
        <w:snapToGrid w:val="0"/>
        <w:spacing w:line="600" w:lineRule="exact"/>
        <w:jc w:val="center"/>
        <w:rPr>
          <w:rFonts w:cs="仿宋_GB2312" w:asciiTheme="majorEastAsia" w:hAnsiTheme="majorEastAsia" w:eastAsiaTheme="majorEastAsia"/>
          <w:kern w:val="0"/>
          <w:sz w:val="44"/>
          <w:szCs w:val="44"/>
        </w:rPr>
      </w:pPr>
      <w:r>
        <w:rPr>
          <w:rFonts w:hint="eastAsia" w:cs="仿宋_GB2312" w:asciiTheme="majorEastAsia" w:hAnsiTheme="majorEastAsia" w:eastAsiaTheme="majorEastAsia"/>
          <w:kern w:val="0"/>
          <w:sz w:val="44"/>
          <w:szCs w:val="44"/>
        </w:rPr>
        <w:t>乐</w:t>
      </w:r>
      <w:r>
        <w:rPr>
          <w:rFonts w:cs="仿宋_GB2312" w:asciiTheme="majorEastAsia" w:hAnsiTheme="majorEastAsia" w:eastAsiaTheme="majorEastAsia"/>
          <w:kern w:val="0"/>
          <w:sz w:val="44"/>
          <w:szCs w:val="44"/>
        </w:rPr>
        <w:t>山市</w:t>
      </w:r>
      <w:r>
        <w:rPr>
          <w:rFonts w:hint="eastAsia" w:cs="仿宋_GB2312" w:asciiTheme="majorEastAsia" w:hAnsiTheme="majorEastAsia" w:eastAsiaTheme="majorEastAsia"/>
          <w:kern w:val="0"/>
          <w:sz w:val="44"/>
          <w:szCs w:val="44"/>
          <w:lang w:eastAsia="zh-CN"/>
        </w:rPr>
        <w:t>县街</w:t>
      </w:r>
      <w:r>
        <w:rPr>
          <w:rFonts w:cs="仿宋_GB2312" w:asciiTheme="majorEastAsia" w:hAnsiTheme="majorEastAsia" w:eastAsiaTheme="majorEastAsia"/>
          <w:kern w:val="0"/>
          <w:sz w:val="44"/>
          <w:szCs w:val="44"/>
        </w:rPr>
        <w:t>小学</w:t>
      </w:r>
    </w:p>
    <w:p>
      <w:pPr>
        <w:snapToGrid w:val="0"/>
        <w:spacing w:line="600" w:lineRule="exact"/>
        <w:jc w:val="center"/>
        <w:rPr>
          <w:rFonts w:ascii="宋体" w:hAnsi="宋体"/>
          <w:b/>
          <w:szCs w:val="21"/>
        </w:rPr>
      </w:pPr>
      <w:r>
        <w:rPr>
          <w:rFonts w:hint="eastAsia" w:cs="仿宋_GB2312" w:asciiTheme="majorEastAsia" w:hAnsiTheme="majorEastAsia" w:eastAsiaTheme="majorEastAsia"/>
          <w:kern w:val="0"/>
          <w:sz w:val="44"/>
          <w:szCs w:val="44"/>
        </w:rPr>
        <w:t>2021年度部门预算项目支出绩效评价报告</w:t>
      </w:r>
    </w:p>
    <w:p>
      <w:pPr>
        <w:spacing w:line="600" w:lineRule="exact"/>
        <w:jc w:val="center"/>
        <w:rPr>
          <w:rFonts w:ascii="仿宋_GB2312" w:hAnsi="宋体"/>
        </w:rPr>
      </w:pPr>
      <w:r>
        <w:rPr>
          <w:rFonts w:hint="eastAsia" w:ascii="仿宋_GB2312" w:hAnsi="宋体"/>
        </w:rPr>
        <w:t>（</w:t>
      </w:r>
      <w:r>
        <w:rPr>
          <w:rFonts w:hint="eastAsia" w:ascii="仿宋_GB2312" w:hAnsi="宋体"/>
          <w:lang w:val="zh-CN"/>
        </w:rPr>
        <w:t>2021年</w:t>
      </w:r>
      <w:r>
        <w:rPr>
          <w:rFonts w:hint="eastAsia" w:ascii="仿宋_GB2312" w:hAnsi="宋体"/>
        </w:rPr>
        <w:t>校园安保）</w:t>
      </w:r>
    </w:p>
    <w:p>
      <w:pPr>
        <w:adjustRightInd w:val="0"/>
        <w:snapToGrid w:val="0"/>
        <w:spacing w:line="400" w:lineRule="exact"/>
        <w:ind w:firstLine="720"/>
        <w:rPr>
          <w:rFonts w:ascii="仿宋" w:hAnsi="仿宋" w:eastAsia="仿宋"/>
          <w:b/>
          <w:sz w:val="30"/>
          <w:szCs w:val="30"/>
          <w:lang w:val="zh-CN"/>
        </w:rPr>
      </w:pPr>
    </w:p>
    <w:p>
      <w:pPr>
        <w:adjustRightInd w:val="0"/>
        <w:snapToGrid w:val="0"/>
        <w:spacing w:line="400" w:lineRule="exact"/>
        <w:ind w:firstLine="720"/>
        <w:rPr>
          <w:rFonts w:ascii="仿宋" w:hAnsi="仿宋" w:eastAsia="仿宋"/>
          <w:b/>
          <w:sz w:val="30"/>
          <w:szCs w:val="30"/>
          <w:lang w:val="zh-CN"/>
        </w:rPr>
      </w:pPr>
      <w:r>
        <w:rPr>
          <w:rFonts w:hint="eastAsia" w:ascii="仿宋" w:hAnsi="仿宋" w:eastAsia="仿宋"/>
          <w:b/>
          <w:sz w:val="30"/>
          <w:szCs w:val="30"/>
          <w:lang w:val="zh-CN"/>
        </w:rPr>
        <w:t>一、</w:t>
      </w:r>
      <w:r>
        <w:rPr>
          <w:rFonts w:ascii="仿宋" w:hAnsi="仿宋" w:eastAsia="仿宋"/>
          <w:b/>
          <w:sz w:val="30"/>
          <w:szCs w:val="30"/>
          <w:lang w:val="zh-CN"/>
        </w:rPr>
        <w:t>基</w:t>
      </w:r>
      <w:r>
        <w:rPr>
          <w:rFonts w:hint="eastAsia" w:ascii="仿宋" w:hAnsi="仿宋" w:eastAsia="仿宋"/>
          <w:b/>
          <w:sz w:val="30"/>
          <w:szCs w:val="30"/>
          <w:lang w:val="zh-CN"/>
        </w:rPr>
        <w:t>本情况</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项目项目概况：202</w:t>
      </w:r>
      <w:r>
        <w:rPr>
          <w:rFonts w:ascii="仿宋" w:hAnsi="仿宋" w:eastAsia="仿宋"/>
          <w:sz w:val="30"/>
          <w:szCs w:val="30"/>
          <w:lang w:val="zh-CN"/>
        </w:rPr>
        <w:t>1</w:t>
      </w:r>
      <w:r>
        <w:rPr>
          <w:rFonts w:hint="eastAsia" w:ascii="仿宋" w:hAnsi="仿宋" w:eastAsia="仿宋"/>
          <w:sz w:val="30"/>
          <w:szCs w:val="30"/>
          <w:lang w:val="zh-CN"/>
        </w:rPr>
        <w:t>年校园安保经费</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（一）项目资金申报及批复情况。</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根据区府办【2018】796号批复，增强校园安全人员。按照“乐中预年</w:t>
      </w:r>
      <w:r>
        <w:rPr>
          <w:rFonts w:ascii="仿宋" w:hAnsi="仿宋" w:eastAsia="仿宋"/>
          <w:sz w:val="30"/>
          <w:szCs w:val="30"/>
          <w:lang w:val="zh-CN"/>
        </w:rPr>
        <w:t>初</w:t>
      </w:r>
      <w:r>
        <w:rPr>
          <w:rFonts w:hint="eastAsia" w:ascii="仿宋" w:hAnsi="仿宋" w:eastAsia="仿宋"/>
          <w:sz w:val="30"/>
          <w:szCs w:val="30"/>
          <w:lang w:val="zh-CN"/>
        </w:rPr>
        <w:t>预</w:t>
      </w:r>
      <w:r>
        <w:rPr>
          <w:rFonts w:ascii="仿宋" w:hAnsi="仿宋" w:eastAsia="仿宋"/>
          <w:sz w:val="30"/>
          <w:szCs w:val="30"/>
          <w:lang w:val="zh-CN"/>
        </w:rPr>
        <w:t>算</w:t>
      </w:r>
      <w:r>
        <w:rPr>
          <w:rFonts w:hint="eastAsia" w:ascii="仿宋" w:hAnsi="仿宋" w:eastAsia="仿宋"/>
          <w:sz w:val="30"/>
          <w:szCs w:val="30"/>
          <w:lang w:val="zh-CN"/>
        </w:rPr>
        <w:t>项目支出[202</w:t>
      </w:r>
      <w:r>
        <w:rPr>
          <w:rFonts w:ascii="仿宋" w:hAnsi="仿宋" w:eastAsia="仿宋"/>
          <w:sz w:val="30"/>
          <w:szCs w:val="30"/>
          <w:lang w:val="zh-CN"/>
        </w:rPr>
        <w:t>1</w:t>
      </w:r>
      <w:r>
        <w:rPr>
          <w:rFonts w:hint="eastAsia" w:ascii="仿宋" w:hAnsi="仿宋" w:eastAsia="仿宋"/>
          <w:sz w:val="30"/>
          <w:szCs w:val="30"/>
          <w:lang w:val="zh-CN"/>
        </w:rPr>
        <w:t>]</w:t>
      </w:r>
      <w:r>
        <w:rPr>
          <w:rFonts w:ascii="仿宋" w:hAnsi="仿宋" w:eastAsia="仿宋"/>
          <w:sz w:val="30"/>
          <w:szCs w:val="30"/>
          <w:lang w:val="zh-CN"/>
        </w:rPr>
        <w:t>243</w:t>
      </w:r>
      <w:r>
        <w:rPr>
          <w:rFonts w:hint="eastAsia" w:ascii="仿宋" w:hAnsi="仿宋" w:eastAsia="仿宋"/>
          <w:sz w:val="30"/>
          <w:szCs w:val="30"/>
          <w:lang w:val="zh-CN"/>
        </w:rPr>
        <w:t>号”发文文号、“乐中预年</w:t>
      </w:r>
      <w:r>
        <w:rPr>
          <w:rFonts w:ascii="仿宋" w:hAnsi="仿宋" w:eastAsia="仿宋"/>
          <w:sz w:val="30"/>
          <w:szCs w:val="30"/>
          <w:lang w:val="zh-CN"/>
        </w:rPr>
        <w:t>初</w:t>
      </w:r>
      <w:r>
        <w:rPr>
          <w:rFonts w:hint="eastAsia" w:ascii="仿宋" w:hAnsi="仿宋" w:eastAsia="仿宋"/>
          <w:sz w:val="30"/>
          <w:szCs w:val="30"/>
          <w:lang w:val="zh-CN"/>
        </w:rPr>
        <w:t>预</w:t>
      </w:r>
      <w:r>
        <w:rPr>
          <w:rFonts w:ascii="仿宋" w:hAnsi="仿宋" w:eastAsia="仿宋"/>
          <w:sz w:val="30"/>
          <w:szCs w:val="30"/>
          <w:lang w:val="zh-CN"/>
        </w:rPr>
        <w:t>算</w:t>
      </w:r>
      <w:r>
        <w:rPr>
          <w:rFonts w:hint="eastAsia" w:ascii="仿宋" w:hAnsi="仿宋" w:eastAsia="仿宋"/>
          <w:sz w:val="30"/>
          <w:szCs w:val="30"/>
          <w:lang w:val="zh-CN"/>
        </w:rPr>
        <w:t>项目支出[202</w:t>
      </w:r>
      <w:r>
        <w:rPr>
          <w:rFonts w:ascii="仿宋" w:hAnsi="仿宋" w:eastAsia="仿宋"/>
          <w:sz w:val="30"/>
          <w:szCs w:val="30"/>
          <w:lang w:val="zh-CN"/>
        </w:rPr>
        <w:t>1</w:t>
      </w:r>
      <w:r>
        <w:rPr>
          <w:rFonts w:hint="eastAsia" w:ascii="仿宋" w:hAnsi="仿宋" w:eastAsia="仿宋"/>
          <w:sz w:val="30"/>
          <w:szCs w:val="30"/>
          <w:lang w:val="zh-CN"/>
        </w:rPr>
        <w:t>]</w:t>
      </w:r>
      <w:r>
        <w:rPr>
          <w:rFonts w:ascii="仿宋" w:hAnsi="仿宋" w:eastAsia="仿宋"/>
          <w:sz w:val="30"/>
          <w:szCs w:val="30"/>
          <w:lang w:val="zh-CN"/>
        </w:rPr>
        <w:t>243</w:t>
      </w:r>
      <w:r>
        <w:rPr>
          <w:rFonts w:hint="eastAsia" w:ascii="仿宋" w:hAnsi="仿宋" w:eastAsia="仿宋"/>
          <w:sz w:val="30"/>
          <w:szCs w:val="30"/>
          <w:lang w:val="zh-CN"/>
        </w:rPr>
        <w:t>号”管理文号，我校于202</w:t>
      </w:r>
      <w:r>
        <w:rPr>
          <w:rFonts w:ascii="仿宋" w:hAnsi="仿宋" w:eastAsia="仿宋"/>
          <w:sz w:val="30"/>
          <w:szCs w:val="30"/>
          <w:lang w:val="zh-CN"/>
        </w:rPr>
        <w:t>1</w:t>
      </w:r>
      <w:r>
        <w:rPr>
          <w:rFonts w:hint="eastAsia" w:ascii="仿宋" w:hAnsi="仿宋" w:eastAsia="仿宋"/>
          <w:sz w:val="30"/>
          <w:szCs w:val="30"/>
          <w:lang w:val="zh-CN"/>
        </w:rPr>
        <w:t>年01月13日收到项目为“年初01-校园安保”、摘要为“县街小学基本运转经费”资金</w:t>
      </w:r>
      <w:r>
        <w:rPr>
          <w:rFonts w:hint="eastAsia" w:ascii="仿宋" w:hAnsi="仿宋" w:eastAsia="仿宋"/>
          <w:sz w:val="30"/>
          <w:szCs w:val="30"/>
          <w:lang w:val="en-US" w:eastAsia="zh-CN"/>
        </w:rPr>
        <w:t>191820</w:t>
      </w:r>
      <w:r>
        <w:rPr>
          <w:rFonts w:hint="eastAsia" w:ascii="仿宋" w:hAnsi="仿宋" w:eastAsia="仿宋"/>
          <w:sz w:val="30"/>
          <w:szCs w:val="30"/>
          <w:lang w:val="zh-CN"/>
        </w:rPr>
        <w:t>元。</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（二）项目绩效目标。</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202</w:t>
      </w:r>
      <w:r>
        <w:rPr>
          <w:rFonts w:ascii="仿宋" w:hAnsi="仿宋" w:eastAsia="仿宋"/>
          <w:sz w:val="30"/>
          <w:szCs w:val="30"/>
          <w:lang w:val="zh-CN"/>
        </w:rPr>
        <w:t>1</w:t>
      </w:r>
      <w:r>
        <w:rPr>
          <w:rFonts w:hint="eastAsia" w:ascii="仿宋" w:hAnsi="仿宋" w:eastAsia="仿宋"/>
          <w:sz w:val="30"/>
          <w:szCs w:val="30"/>
          <w:lang w:val="zh-CN"/>
        </w:rPr>
        <w:t>年校园安保资金主要为支付202</w:t>
      </w:r>
      <w:r>
        <w:rPr>
          <w:rFonts w:ascii="仿宋" w:hAnsi="仿宋" w:eastAsia="仿宋"/>
          <w:sz w:val="30"/>
          <w:szCs w:val="30"/>
          <w:lang w:val="zh-CN"/>
        </w:rPr>
        <w:t>1</w:t>
      </w:r>
      <w:r>
        <w:rPr>
          <w:rFonts w:hint="eastAsia" w:ascii="仿宋" w:hAnsi="仿宋" w:eastAsia="仿宋"/>
          <w:sz w:val="30"/>
          <w:szCs w:val="30"/>
          <w:lang w:val="zh-CN"/>
        </w:rPr>
        <w:t>年校园安保经费（含工资及保险），具体为预算安保为</w:t>
      </w:r>
      <w:r>
        <w:rPr>
          <w:rFonts w:hint="eastAsia" w:ascii="仿宋" w:hAnsi="仿宋" w:eastAsia="仿宋"/>
          <w:sz w:val="30"/>
          <w:szCs w:val="30"/>
          <w:lang w:val="en-US" w:eastAsia="zh-CN"/>
        </w:rPr>
        <w:t>5</w:t>
      </w:r>
      <w:r>
        <w:rPr>
          <w:rFonts w:hint="eastAsia" w:ascii="仿宋" w:hAnsi="仿宋" w:eastAsia="仿宋"/>
          <w:sz w:val="30"/>
          <w:szCs w:val="30"/>
          <w:lang w:val="zh-CN"/>
        </w:rPr>
        <w:t>人，人均为38364元，共计为38364×</w:t>
      </w:r>
      <w:r>
        <w:rPr>
          <w:rFonts w:ascii="仿宋" w:hAnsi="仿宋" w:eastAsia="仿宋"/>
          <w:sz w:val="30"/>
          <w:szCs w:val="30"/>
          <w:lang w:val="zh-CN"/>
        </w:rPr>
        <w:t>4</w:t>
      </w:r>
      <w:r>
        <w:rPr>
          <w:rFonts w:hint="eastAsia" w:ascii="仿宋" w:hAnsi="仿宋" w:eastAsia="仿宋"/>
          <w:sz w:val="30"/>
          <w:szCs w:val="30"/>
          <w:lang w:val="zh-CN"/>
        </w:rPr>
        <w:t>=</w:t>
      </w:r>
      <w:r>
        <w:rPr>
          <w:rFonts w:ascii="仿宋" w:hAnsi="仿宋" w:eastAsia="仿宋"/>
          <w:sz w:val="30"/>
          <w:szCs w:val="30"/>
          <w:lang w:val="zh-CN"/>
        </w:rPr>
        <w:t>1</w:t>
      </w:r>
      <w:r>
        <w:rPr>
          <w:rFonts w:hint="eastAsia" w:ascii="仿宋" w:hAnsi="仿宋" w:eastAsia="仿宋"/>
          <w:sz w:val="30"/>
          <w:szCs w:val="30"/>
          <w:lang w:val="en-US" w:eastAsia="zh-CN"/>
        </w:rPr>
        <w:t>91820.</w:t>
      </w:r>
      <w:r>
        <w:rPr>
          <w:rFonts w:hint="eastAsia" w:ascii="仿宋" w:hAnsi="仿宋" w:eastAsia="仿宋"/>
          <w:sz w:val="30"/>
          <w:szCs w:val="30"/>
          <w:lang w:val="zh-CN"/>
        </w:rPr>
        <w:t>00元。</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（三）项目资金申报相符性。</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该项目申报内容与具体实施内容相符、申报目标合理可行，每月按实申报用款额度。</w:t>
      </w:r>
    </w:p>
    <w:p>
      <w:pPr>
        <w:adjustRightInd w:val="0"/>
        <w:snapToGrid w:val="0"/>
        <w:spacing w:line="400" w:lineRule="exact"/>
        <w:ind w:firstLine="720"/>
        <w:rPr>
          <w:rFonts w:ascii="仿宋" w:hAnsi="仿宋" w:eastAsia="仿宋"/>
          <w:b/>
          <w:sz w:val="30"/>
          <w:szCs w:val="30"/>
          <w:lang w:val="zh-CN"/>
        </w:rPr>
      </w:pPr>
      <w:r>
        <w:rPr>
          <w:rFonts w:hint="eastAsia" w:ascii="仿宋" w:hAnsi="仿宋" w:eastAsia="仿宋"/>
          <w:b/>
          <w:sz w:val="30"/>
          <w:szCs w:val="30"/>
          <w:lang w:val="zh-CN"/>
        </w:rPr>
        <w:t>二</w:t>
      </w:r>
      <w:r>
        <w:rPr>
          <w:rFonts w:ascii="仿宋" w:hAnsi="仿宋" w:eastAsia="仿宋"/>
          <w:b/>
          <w:sz w:val="30"/>
          <w:szCs w:val="30"/>
          <w:lang w:val="zh-CN"/>
        </w:rPr>
        <w:t>、</w:t>
      </w:r>
      <w:r>
        <w:rPr>
          <w:rFonts w:hint="eastAsia" w:ascii="仿宋" w:hAnsi="仿宋" w:eastAsia="仿宋"/>
          <w:b/>
          <w:sz w:val="30"/>
          <w:szCs w:val="30"/>
          <w:lang w:val="zh-CN"/>
        </w:rPr>
        <w:t>评价工作开展情况</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（一）绩效评价组织</w:t>
      </w:r>
      <w:r>
        <w:rPr>
          <w:rFonts w:ascii="仿宋" w:hAnsi="仿宋" w:eastAsia="仿宋"/>
          <w:sz w:val="30"/>
          <w:szCs w:val="30"/>
          <w:lang w:val="zh-CN"/>
        </w:rPr>
        <w:t>情况</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为加强财政支出管理，强化支出责任，建立科学、合理的财政支出绩效评价管理体系，提高财政资金使用效益，根据设定的绩效目标，运用科学、合理的绩效评价指标、评价标准和评价方法，对项目支出绩效的经济性、效率性和效益性进行客观公正的评价。</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（二）绩效评价原则、依据，评价指标体系，评价方法</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1.绩效评价原则、依据</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遵循科学规范、公正公开、分级分类、绩效相关原则，采用比较法，定量与定性相结合的办法。</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2.评价指标体系</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评价指标体系设计分一级、二级、三级指标和各三级评价标准、指标说明等。</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3.评价方法</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根据《财政部关于印发〈财政支出绩效评价管理暂行办法〉的通知》（财预〔2011〕285号）文件规定的绩效评价方法，在运用时坚持定量优先、简便有效的原则。</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4.评价标</w:t>
      </w:r>
      <w:r>
        <w:rPr>
          <w:rFonts w:ascii="仿宋" w:hAnsi="仿宋" w:eastAsia="仿宋"/>
          <w:sz w:val="30"/>
          <w:szCs w:val="30"/>
          <w:lang w:val="zh-CN"/>
        </w:rPr>
        <w:t>准</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（1）项目支出绩效评价得分满分为100.00分。</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（2）由单位绩效评价领导小组根据评价情况，对各单项指标分别进行独立打分。</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（3）总评价分为各单项指标得分总和。</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（4）评价结果：根据评价得分(满分100分)，评价结果分为优、良、中、差四等。</w:t>
      </w:r>
    </w:p>
    <w:p>
      <w:pPr>
        <w:widowControl/>
        <w:shd w:val="clear" w:color="auto" w:fill="FFFFFF"/>
        <w:spacing w:before="75" w:after="75" w:line="400" w:lineRule="exact"/>
        <w:ind w:firstLine="602" w:firstLineChars="200"/>
        <w:jc w:val="left"/>
        <w:rPr>
          <w:rFonts w:ascii="仿宋" w:hAnsi="仿宋" w:eastAsia="仿宋"/>
          <w:b/>
          <w:sz w:val="30"/>
          <w:szCs w:val="30"/>
          <w:lang w:val="zh-CN"/>
        </w:rPr>
      </w:pPr>
      <w:r>
        <w:rPr>
          <w:rFonts w:hint="eastAsia" w:ascii="仿宋" w:hAnsi="仿宋" w:eastAsia="仿宋"/>
          <w:b/>
          <w:sz w:val="30"/>
          <w:szCs w:val="30"/>
          <w:lang w:val="zh-CN"/>
        </w:rPr>
        <w:t>三、综合评价情况及评价结论</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（一）绩效评价综合结论</w:t>
      </w:r>
    </w:p>
    <w:p>
      <w:pPr>
        <w:widowControl/>
        <w:spacing w:line="400" w:lineRule="exact"/>
        <w:jc w:val="left"/>
        <w:rPr>
          <w:rFonts w:ascii="仿宋" w:hAnsi="仿宋" w:eastAsia="仿宋"/>
          <w:sz w:val="30"/>
          <w:szCs w:val="30"/>
          <w:lang w:val="zh-CN"/>
        </w:rPr>
      </w:pPr>
      <w:r>
        <w:rPr>
          <w:rFonts w:hint="eastAsia" w:ascii="仿宋" w:hAnsi="仿宋" w:eastAsia="仿宋"/>
          <w:sz w:val="30"/>
          <w:szCs w:val="30"/>
          <w:lang w:val="zh-CN"/>
        </w:rPr>
        <w:t>2021年统计专项项目的自评根据设计的自评指标体系，开展绩效自评。经综合评价，自评平均得分97.9</w:t>
      </w:r>
      <w:r>
        <w:rPr>
          <w:rFonts w:ascii="仿宋" w:hAnsi="仿宋" w:eastAsia="仿宋"/>
          <w:sz w:val="30"/>
          <w:szCs w:val="30"/>
          <w:lang w:val="zh-CN"/>
        </w:rPr>
        <w:t>8</w:t>
      </w:r>
      <w:r>
        <w:rPr>
          <w:rFonts w:hint="eastAsia" w:ascii="仿宋" w:hAnsi="仿宋" w:eastAsia="仿宋"/>
          <w:sz w:val="30"/>
          <w:szCs w:val="30"/>
          <w:lang w:val="zh-CN"/>
        </w:rPr>
        <w:t>分，自评等级为优。综合评价结论如下：</w:t>
      </w:r>
    </w:p>
    <w:p>
      <w:pPr>
        <w:widowControl/>
        <w:spacing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1.在产出指标数量指标方面，2021年度具体为预算安保为</w:t>
      </w:r>
      <w:r>
        <w:rPr>
          <w:rFonts w:hint="eastAsia" w:ascii="仿宋" w:hAnsi="仿宋" w:eastAsia="仿宋"/>
          <w:sz w:val="30"/>
          <w:szCs w:val="30"/>
          <w:lang w:val="en-US" w:eastAsia="zh-CN"/>
        </w:rPr>
        <w:t>5</w:t>
      </w:r>
      <w:r>
        <w:rPr>
          <w:rFonts w:hint="eastAsia" w:ascii="仿宋" w:hAnsi="仿宋" w:eastAsia="仿宋"/>
          <w:sz w:val="30"/>
          <w:szCs w:val="30"/>
          <w:lang w:val="zh-CN"/>
        </w:rPr>
        <w:t>人。</w:t>
      </w:r>
    </w:p>
    <w:p>
      <w:pPr>
        <w:widowControl/>
        <w:spacing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2.在产出指标完成预算执行支出进度方面，截至2021年</w:t>
      </w:r>
      <w:r>
        <w:rPr>
          <w:rFonts w:ascii="仿宋" w:hAnsi="仿宋" w:eastAsia="仿宋"/>
          <w:sz w:val="30"/>
          <w:szCs w:val="30"/>
          <w:lang w:val="zh-CN"/>
        </w:rPr>
        <w:t>12</w:t>
      </w:r>
      <w:r>
        <w:rPr>
          <w:rFonts w:hint="eastAsia" w:ascii="仿宋" w:hAnsi="仿宋" w:eastAsia="仿宋"/>
          <w:sz w:val="30"/>
          <w:szCs w:val="30"/>
          <w:lang w:val="zh-CN"/>
        </w:rPr>
        <w:t>月3</w:t>
      </w:r>
      <w:r>
        <w:rPr>
          <w:rFonts w:ascii="仿宋" w:hAnsi="仿宋" w:eastAsia="仿宋"/>
          <w:sz w:val="30"/>
          <w:szCs w:val="30"/>
          <w:lang w:val="zh-CN"/>
        </w:rPr>
        <w:t>1</w:t>
      </w:r>
      <w:r>
        <w:rPr>
          <w:rFonts w:hint="eastAsia" w:ascii="仿宋" w:hAnsi="仿宋" w:eastAsia="仿宋"/>
          <w:sz w:val="30"/>
          <w:szCs w:val="30"/>
          <w:lang w:val="zh-CN"/>
        </w:rPr>
        <w:t>日项目预算完成率达</w:t>
      </w:r>
      <w:r>
        <w:rPr>
          <w:rFonts w:ascii="仿宋" w:hAnsi="仿宋" w:eastAsia="仿宋"/>
          <w:sz w:val="30"/>
          <w:szCs w:val="30"/>
          <w:lang w:val="zh-CN"/>
        </w:rPr>
        <w:t>到</w:t>
      </w:r>
      <w:r>
        <w:rPr>
          <w:rFonts w:hint="eastAsia" w:ascii="仿宋" w:hAnsi="仿宋" w:eastAsia="仿宋"/>
          <w:sz w:val="30"/>
          <w:szCs w:val="30"/>
          <w:lang w:val="en-US" w:eastAsia="zh-CN"/>
        </w:rPr>
        <w:t>100</w:t>
      </w:r>
      <w:r>
        <w:rPr>
          <w:rFonts w:hint="eastAsia" w:ascii="仿宋" w:hAnsi="仿宋" w:eastAsia="仿宋"/>
          <w:sz w:val="30"/>
          <w:szCs w:val="30"/>
          <w:lang w:val="zh-CN"/>
        </w:rPr>
        <w:t>%。</w:t>
      </w:r>
    </w:p>
    <w:p>
      <w:pPr>
        <w:widowControl/>
        <w:spacing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（二）绩效目标实现情况</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w:t>
      </w:r>
      <w:r>
        <w:rPr>
          <w:rFonts w:ascii="仿宋" w:hAnsi="仿宋" w:eastAsia="仿宋"/>
          <w:sz w:val="30"/>
          <w:szCs w:val="30"/>
          <w:lang w:val="zh-CN"/>
        </w:rPr>
        <w:t>1</w:t>
      </w:r>
      <w:r>
        <w:rPr>
          <w:rFonts w:hint="eastAsia" w:ascii="仿宋" w:hAnsi="仿宋" w:eastAsia="仿宋"/>
          <w:sz w:val="30"/>
          <w:szCs w:val="30"/>
          <w:lang w:val="zh-CN"/>
        </w:rPr>
        <w:t>年校园安保资金项目已顺利实施完成。并由区财政局、区教育局进行监督实施。有效保障了我校保安的基本权益。</w:t>
      </w:r>
    </w:p>
    <w:p>
      <w:pPr>
        <w:spacing w:line="400" w:lineRule="exact"/>
        <w:ind w:firstLine="602" w:firstLineChars="200"/>
        <w:rPr>
          <w:rFonts w:ascii="仿宋" w:hAnsi="仿宋" w:eastAsia="仿宋"/>
          <w:b/>
          <w:sz w:val="30"/>
          <w:szCs w:val="30"/>
          <w:lang w:val="zh-CN"/>
        </w:rPr>
      </w:pPr>
      <w:r>
        <w:rPr>
          <w:rFonts w:hint="eastAsia" w:ascii="仿宋" w:hAnsi="仿宋" w:eastAsia="仿宋"/>
          <w:b/>
          <w:sz w:val="30"/>
          <w:szCs w:val="30"/>
          <w:lang w:val="zh-CN"/>
        </w:rPr>
        <w:t>四、绩效评价指标分析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（一）项目决策情况分析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2021年初，我单位针对2021年校园</w:t>
      </w:r>
      <w:r>
        <w:rPr>
          <w:rFonts w:ascii="仿宋" w:hAnsi="仿宋" w:eastAsia="仿宋"/>
          <w:sz w:val="30"/>
          <w:szCs w:val="30"/>
          <w:lang w:val="zh-CN"/>
        </w:rPr>
        <w:t>保安</w:t>
      </w:r>
      <w:r>
        <w:rPr>
          <w:rFonts w:hint="eastAsia" w:ascii="仿宋" w:hAnsi="仿宋" w:eastAsia="仿宋"/>
          <w:sz w:val="30"/>
          <w:szCs w:val="30"/>
          <w:lang w:val="zh-CN"/>
        </w:rPr>
        <w:t>编制了预算项目绩效目标，分别从项目的数量目标、质量目标、时效目标、成本目标以及生态效益、社会效益、可持续影响、服务对象满意度等几个方面，结合学校的</w:t>
      </w:r>
      <w:r>
        <w:rPr>
          <w:rFonts w:ascii="仿宋" w:hAnsi="仿宋" w:eastAsia="仿宋"/>
          <w:sz w:val="30"/>
          <w:szCs w:val="30"/>
          <w:lang w:val="zh-CN"/>
        </w:rPr>
        <w:t>具体</w:t>
      </w:r>
      <w:r>
        <w:rPr>
          <w:rFonts w:hint="eastAsia" w:ascii="仿宋" w:hAnsi="仿宋" w:eastAsia="仿宋"/>
          <w:sz w:val="30"/>
          <w:szCs w:val="30"/>
          <w:lang w:val="zh-CN"/>
        </w:rPr>
        <w:t>职能，通过验证项目的可操作性，量化、设计项目的绩效考核指标，明确了2021年校园</w:t>
      </w:r>
      <w:r>
        <w:rPr>
          <w:rFonts w:ascii="仿宋" w:hAnsi="仿宋" w:eastAsia="仿宋"/>
          <w:sz w:val="30"/>
          <w:szCs w:val="30"/>
          <w:lang w:val="zh-CN"/>
        </w:rPr>
        <w:t>保安</w:t>
      </w:r>
      <w:r>
        <w:rPr>
          <w:rFonts w:hint="eastAsia" w:ascii="仿宋" w:hAnsi="仿宋" w:eastAsia="仿宋"/>
          <w:sz w:val="30"/>
          <w:szCs w:val="30"/>
          <w:lang w:val="zh-CN"/>
        </w:rPr>
        <w:t>专项经费项目目标。</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（二）项目管理情况分</w:t>
      </w:r>
      <w:r>
        <w:rPr>
          <w:rFonts w:ascii="仿宋" w:hAnsi="仿宋" w:eastAsia="仿宋"/>
          <w:sz w:val="30"/>
          <w:szCs w:val="30"/>
          <w:lang w:val="zh-CN"/>
        </w:rPr>
        <w:t>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w:t>
      </w:r>
      <w:r>
        <w:rPr>
          <w:rFonts w:ascii="仿宋" w:hAnsi="仿宋" w:eastAsia="仿宋"/>
          <w:sz w:val="30"/>
          <w:szCs w:val="30"/>
          <w:lang w:val="zh-CN"/>
        </w:rPr>
        <w:t>1</w:t>
      </w:r>
      <w:r>
        <w:rPr>
          <w:rFonts w:hint="eastAsia" w:ascii="仿宋" w:hAnsi="仿宋" w:eastAsia="仿宋"/>
          <w:sz w:val="30"/>
          <w:szCs w:val="30"/>
          <w:lang w:val="zh-CN"/>
        </w:rPr>
        <w:t>年校园安保资金系专项资金，设置了专账进行财务核算，资金使用符合财务制度规定，项目实施专项经费均已按照相关规定专款专用，财务处理及时，会计核算规范</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（三）项目产出情况分析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2021年校园</w:t>
      </w:r>
      <w:r>
        <w:rPr>
          <w:rFonts w:ascii="仿宋" w:hAnsi="仿宋" w:eastAsia="仿宋"/>
          <w:sz w:val="30"/>
          <w:szCs w:val="30"/>
          <w:lang w:val="zh-CN"/>
        </w:rPr>
        <w:t>保安</w:t>
      </w:r>
      <w:r>
        <w:rPr>
          <w:rFonts w:hint="eastAsia" w:ascii="仿宋" w:hAnsi="仿宋" w:eastAsia="仿宋"/>
          <w:sz w:val="30"/>
          <w:szCs w:val="30"/>
          <w:lang w:val="zh-CN"/>
        </w:rPr>
        <w:t>专项项目的年度绩效目标全部完成。具体如下：</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我校在实际的支付中支付了</w:t>
      </w:r>
      <w:r>
        <w:rPr>
          <w:rFonts w:hint="eastAsia" w:ascii="仿宋" w:hAnsi="仿宋" w:eastAsia="仿宋"/>
          <w:sz w:val="30"/>
          <w:szCs w:val="30"/>
          <w:lang w:val="en-US" w:eastAsia="zh-CN"/>
        </w:rPr>
        <w:t>5</w:t>
      </w:r>
      <w:r>
        <w:rPr>
          <w:rFonts w:hint="eastAsia" w:ascii="仿宋" w:hAnsi="仿宋" w:eastAsia="仿宋"/>
          <w:sz w:val="30"/>
          <w:szCs w:val="30"/>
          <w:lang w:val="zh-CN"/>
        </w:rPr>
        <w:t>名安保经费，每月由</w:t>
      </w:r>
      <w:r>
        <w:rPr>
          <w:rFonts w:ascii="仿宋" w:hAnsi="仿宋" w:eastAsia="仿宋"/>
          <w:sz w:val="30"/>
          <w:szCs w:val="30"/>
          <w:lang w:val="zh-CN"/>
        </w:rPr>
        <w:t>乐山至诚保安服务有限公司</w:t>
      </w:r>
      <w:r>
        <w:rPr>
          <w:rFonts w:hint="eastAsia" w:ascii="仿宋" w:hAnsi="仿宋" w:eastAsia="仿宋"/>
          <w:sz w:val="30"/>
          <w:szCs w:val="30"/>
          <w:lang w:val="zh-CN"/>
        </w:rPr>
        <w:t>核算资金，交区教育局和市中区财政审核申请资金，由学校申请用款计划，经财政审批后由我校直接转入</w:t>
      </w:r>
      <w:r>
        <w:rPr>
          <w:rFonts w:ascii="仿宋" w:hAnsi="仿宋" w:eastAsia="仿宋"/>
          <w:sz w:val="30"/>
          <w:szCs w:val="30"/>
          <w:lang w:val="zh-CN"/>
        </w:rPr>
        <w:t>乐山至诚保安服务有限公司</w:t>
      </w:r>
      <w:r>
        <w:rPr>
          <w:rFonts w:hint="eastAsia" w:ascii="仿宋" w:hAnsi="仿宋" w:eastAsia="仿宋"/>
          <w:sz w:val="30"/>
          <w:szCs w:val="30"/>
          <w:lang w:val="zh-CN"/>
        </w:rPr>
        <w:t>，再由</w:t>
      </w:r>
      <w:r>
        <w:rPr>
          <w:rFonts w:ascii="仿宋" w:hAnsi="仿宋" w:eastAsia="仿宋"/>
          <w:sz w:val="30"/>
          <w:szCs w:val="30"/>
          <w:lang w:val="zh-CN"/>
        </w:rPr>
        <w:t>乐山至诚保安服务有限公司</w:t>
      </w:r>
      <w:r>
        <w:rPr>
          <w:rFonts w:hint="eastAsia" w:ascii="仿宋" w:hAnsi="仿宋" w:eastAsia="仿宋"/>
          <w:sz w:val="30"/>
          <w:szCs w:val="30"/>
          <w:lang w:val="zh-CN"/>
        </w:rPr>
        <w:t>支付给我校保安。202</w:t>
      </w:r>
      <w:r>
        <w:rPr>
          <w:rFonts w:ascii="仿宋" w:hAnsi="仿宋" w:eastAsia="仿宋"/>
          <w:sz w:val="30"/>
          <w:szCs w:val="30"/>
          <w:lang w:val="zh-CN"/>
        </w:rPr>
        <w:t>1</w:t>
      </w:r>
      <w:r>
        <w:rPr>
          <w:rFonts w:hint="eastAsia" w:ascii="仿宋" w:hAnsi="仿宋" w:eastAsia="仿宋"/>
          <w:sz w:val="30"/>
          <w:szCs w:val="30"/>
          <w:lang w:val="zh-CN"/>
        </w:rPr>
        <w:t>年预</w:t>
      </w:r>
      <w:r>
        <w:rPr>
          <w:rFonts w:ascii="仿宋" w:hAnsi="仿宋" w:eastAsia="仿宋"/>
          <w:sz w:val="30"/>
          <w:szCs w:val="30"/>
          <w:lang w:val="zh-CN"/>
        </w:rPr>
        <w:t>算拨付</w:t>
      </w:r>
      <w:r>
        <w:rPr>
          <w:rFonts w:hint="eastAsia" w:ascii="仿宋" w:hAnsi="仿宋" w:eastAsia="仿宋"/>
          <w:sz w:val="30"/>
          <w:szCs w:val="30"/>
          <w:lang w:val="zh-CN"/>
        </w:rPr>
        <w:t>校</w:t>
      </w:r>
      <w:r>
        <w:rPr>
          <w:rFonts w:ascii="仿宋" w:hAnsi="仿宋" w:eastAsia="仿宋"/>
          <w:sz w:val="30"/>
          <w:szCs w:val="30"/>
          <w:lang w:val="zh-CN"/>
        </w:rPr>
        <w:t>园</w:t>
      </w:r>
      <w:r>
        <w:rPr>
          <w:rFonts w:hint="eastAsia" w:ascii="仿宋" w:hAnsi="仿宋" w:eastAsia="仿宋"/>
          <w:sz w:val="30"/>
          <w:szCs w:val="30"/>
          <w:lang w:val="zh-CN"/>
        </w:rPr>
        <w:t>保</w:t>
      </w:r>
      <w:r>
        <w:rPr>
          <w:rFonts w:ascii="仿宋" w:hAnsi="仿宋" w:eastAsia="仿宋"/>
          <w:sz w:val="30"/>
          <w:szCs w:val="30"/>
          <w:lang w:val="zh-CN"/>
        </w:rPr>
        <w:t>安资金1</w:t>
      </w:r>
      <w:r>
        <w:rPr>
          <w:rFonts w:hint="eastAsia" w:ascii="仿宋" w:hAnsi="仿宋" w:eastAsia="仿宋"/>
          <w:sz w:val="30"/>
          <w:szCs w:val="30"/>
          <w:lang w:val="en-US" w:eastAsia="zh-CN"/>
        </w:rPr>
        <w:t>91820</w:t>
      </w:r>
      <w:r>
        <w:rPr>
          <w:rFonts w:hint="eastAsia" w:ascii="仿宋" w:hAnsi="仿宋" w:eastAsia="仿宋"/>
          <w:sz w:val="30"/>
          <w:szCs w:val="30"/>
          <w:lang w:val="zh-CN"/>
        </w:rPr>
        <w:t>元</w:t>
      </w:r>
      <w:r>
        <w:rPr>
          <w:rFonts w:ascii="仿宋" w:hAnsi="仿宋" w:eastAsia="仿宋"/>
          <w:sz w:val="30"/>
          <w:szCs w:val="30"/>
          <w:lang w:val="zh-CN"/>
        </w:rPr>
        <w:t>，于</w:t>
      </w:r>
      <w:r>
        <w:rPr>
          <w:rFonts w:hint="eastAsia" w:ascii="仿宋" w:hAnsi="仿宋" w:eastAsia="仿宋"/>
          <w:sz w:val="30"/>
          <w:szCs w:val="30"/>
          <w:lang w:val="zh-CN"/>
        </w:rPr>
        <w:t>2021年12月31日</w:t>
      </w:r>
      <w:r>
        <w:rPr>
          <w:rFonts w:ascii="仿宋" w:hAnsi="仿宋" w:eastAsia="仿宋"/>
          <w:sz w:val="30"/>
          <w:szCs w:val="30"/>
          <w:lang w:val="zh-CN"/>
        </w:rPr>
        <w:t>止共使用校园</w:t>
      </w:r>
      <w:r>
        <w:rPr>
          <w:rFonts w:hint="eastAsia" w:ascii="仿宋" w:hAnsi="仿宋" w:eastAsia="仿宋"/>
          <w:sz w:val="30"/>
          <w:szCs w:val="30"/>
          <w:lang w:val="zh-CN"/>
        </w:rPr>
        <w:t>保</w:t>
      </w:r>
      <w:r>
        <w:rPr>
          <w:rFonts w:ascii="仿宋" w:hAnsi="仿宋" w:eastAsia="仿宋"/>
          <w:sz w:val="30"/>
          <w:szCs w:val="30"/>
          <w:lang w:val="zh-CN"/>
        </w:rPr>
        <w:t>安资金1</w:t>
      </w:r>
      <w:r>
        <w:rPr>
          <w:rFonts w:hint="eastAsia" w:ascii="仿宋" w:hAnsi="仿宋" w:eastAsia="仿宋"/>
          <w:sz w:val="30"/>
          <w:szCs w:val="30"/>
          <w:lang w:val="en-US" w:eastAsia="zh-CN"/>
        </w:rPr>
        <w:t>90882.6</w:t>
      </w:r>
      <w:r>
        <w:rPr>
          <w:rFonts w:hint="eastAsia" w:ascii="仿宋" w:hAnsi="仿宋" w:eastAsia="仿宋"/>
          <w:sz w:val="30"/>
          <w:szCs w:val="30"/>
          <w:lang w:val="zh-CN"/>
        </w:rPr>
        <w:t>元，</w:t>
      </w:r>
      <w:r>
        <w:rPr>
          <w:rFonts w:ascii="仿宋" w:hAnsi="仿宋" w:eastAsia="仿宋"/>
          <w:sz w:val="30"/>
          <w:szCs w:val="30"/>
          <w:lang w:val="zh-CN"/>
        </w:rPr>
        <w:t>预算执行率达到</w:t>
      </w:r>
      <w:r>
        <w:rPr>
          <w:rFonts w:hint="eastAsia" w:ascii="仿宋" w:hAnsi="仿宋" w:eastAsia="仿宋"/>
          <w:sz w:val="30"/>
          <w:szCs w:val="30"/>
          <w:lang w:val="en-US" w:eastAsia="zh-CN"/>
        </w:rPr>
        <w:t>99.56</w:t>
      </w:r>
      <w:r>
        <w:rPr>
          <w:rFonts w:hint="eastAsia" w:ascii="仿宋" w:hAnsi="仿宋" w:eastAsia="仿宋"/>
          <w:sz w:val="30"/>
          <w:szCs w:val="30"/>
          <w:lang w:val="zh-CN"/>
        </w:rPr>
        <w:t>%。</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（四）项目效益情况分析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w:t>
      </w:r>
      <w:r>
        <w:rPr>
          <w:rFonts w:ascii="仿宋" w:hAnsi="仿宋" w:eastAsia="仿宋"/>
          <w:sz w:val="30"/>
          <w:szCs w:val="30"/>
          <w:lang w:val="zh-CN"/>
        </w:rPr>
        <w:t>1</w:t>
      </w:r>
      <w:r>
        <w:rPr>
          <w:rFonts w:hint="eastAsia" w:ascii="仿宋" w:hAnsi="仿宋" w:eastAsia="仿宋"/>
          <w:sz w:val="30"/>
          <w:szCs w:val="30"/>
          <w:lang w:val="zh-CN"/>
        </w:rPr>
        <w:t>年校园安保资金切实解决了我校保安的实际问题，满意度测评效果良好。</w:t>
      </w:r>
    </w:p>
    <w:p>
      <w:pPr>
        <w:snapToGrid w:val="0"/>
        <w:spacing w:line="400" w:lineRule="exact"/>
        <w:ind w:firstLine="602" w:firstLineChars="200"/>
        <w:rPr>
          <w:rFonts w:ascii="仿宋" w:hAnsi="仿宋" w:eastAsia="仿宋"/>
          <w:sz w:val="30"/>
          <w:szCs w:val="30"/>
          <w:lang w:val="zh-CN"/>
        </w:rPr>
      </w:pPr>
      <w:r>
        <w:rPr>
          <w:rFonts w:hint="eastAsia" w:ascii="仿宋" w:hAnsi="仿宋" w:eastAsia="仿宋"/>
          <w:b/>
          <w:sz w:val="30"/>
          <w:szCs w:val="30"/>
          <w:lang w:val="zh-CN"/>
        </w:rPr>
        <w:t>五、存在主要问题</w:t>
      </w:r>
    </w:p>
    <w:p>
      <w:pPr>
        <w:snapToGrid w:val="0"/>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en-US" w:eastAsia="zh-CN"/>
        </w:rPr>
        <w:t>1</w:t>
      </w:r>
      <w:r>
        <w:rPr>
          <w:rFonts w:hint="eastAsia" w:ascii="仿宋" w:hAnsi="仿宋" w:eastAsia="仿宋"/>
          <w:sz w:val="30"/>
          <w:szCs w:val="30"/>
          <w:lang w:val="zh-CN"/>
        </w:rPr>
        <w:t>、受益人员满意度未达到100%。</w:t>
      </w:r>
    </w:p>
    <w:p>
      <w:pPr>
        <w:snapToGrid w:val="0"/>
        <w:spacing w:line="400" w:lineRule="exact"/>
        <w:ind w:firstLine="602" w:firstLineChars="200"/>
        <w:rPr>
          <w:rFonts w:ascii="仿宋" w:hAnsi="仿宋" w:eastAsia="仿宋"/>
          <w:b/>
          <w:sz w:val="30"/>
          <w:szCs w:val="30"/>
          <w:lang w:val="zh-CN"/>
        </w:rPr>
      </w:pPr>
      <w:r>
        <w:rPr>
          <w:rFonts w:hint="eastAsia" w:ascii="仿宋" w:hAnsi="仿宋" w:eastAsia="仿宋"/>
          <w:b/>
          <w:sz w:val="30"/>
          <w:szCs w:val="30"/>
          <w:lang w:val="zh-CN"/>
        </w:rPr>
        <w:t>六、相关措施建议</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(一)相关措</w:t>
      </w:r>
      <w:r>
        <w:rPr>
          <w:rFonts w:ascii="仿宋" w:hAnsi="仿宋" w:eastAsia="仿宋"/>
          <w:sz w:val="30"/>
          <w:szCs w:val="30"/>
          <w:lang w:val="zh-CN"/>
        </w:rPr>
        <w:t>施</w:t>
      </w:r>
      <w:r>
        <w:rPr>
          <w:rFonts w:hint="eastAsia" w:ascii="仿宋" w:hAnsi="仿宋" w:eastAsia="仿宋"/>
          <w:sz w:val="30"/>
          <w:szCs w:val="30"/>
          <w:lang w:val="zh-CN"/>
        </w:rPr>
        <w:t>。</w:t>
      </w:r>
    </w:p>
    <w:p>
      <w:pPr>
        <w:snapToGrid w:val="0"/>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en-US" w:eastAsia="zh-CN"/>
        </w:rPr>
        <w:t>1</w:t>
      </w:r>
      <w:r>
        <w:rPr>
          <w:rFonts w:hint="eastAsia" w:ascii="仿宋" w:hAnsi="仿宋" w:eastAsia="仿宋"/>
          <w:sz w:val="30"/>
          <w:szCs w:val="30"/>
          <w:lang w:val="zh-CN"/>
        </w:rPr>
        <w:t>、努力做好学校的各项工作，力争让受益人员满意度未达到100%。</w:t>
      </w:r>
    </w:p>
    <w:p>
      <w:pPr>
        <w:pStyle w:val="2"/>
        <w:spacing w:before="93"/>
        <w:rPr>
          <w:lang w:val="zh-CN"/>
        </w:rPr>
      </w:pPr>
    </w:p>
    <w:p>
      <w:pPr>
        <w:pStyle w:val="2"/>
        <w:spacing w:before="93"/>
        <w:rPr>
          <w:lang w:val="zh-CN"/>
        </w:rPr>
      </w:pPr>
    </w:p>
    <w:p>
      <w:pPr>
        <w:pStyle w:val="2"/>
        <w:spacing w:before="93"/>
        <w:rPr>
          <w:lang w:val="zh-CN"/>
        </w:rPr>
      </w:pPr>
    </w:p>
    <w:p>
      <w:pPr>
        <w:pStyle w:val="2"/>
        <w:spacing w:before="93"/>
        <w:rPr>
          <w:lang w:val="zh-CN"/>
        </w:rPr>
      </w:pPr>
    </w:p>
    <w:p>
      <w:pPr>
        <w:pStyle w:val="2"/>
        <w:spacing w:before="93"/>
        <w:rPr>
          <w:rFonts w:ascii="仿宋" w:hAnsi="仿宋" w:eastAsia="仿宋"/>
          <w:b/>
          <w:sz w:val="32"/>
          <w:szCs w:val="32"/>
        </w:rPr>
      </w:pPr>
    </w:p>
    <w:tbl>
      <w:tblPr>
        <w:tblStyle w:val="13"/>
        <w:tblpPr w:leftFromText="180" w:rightFromText="180" w:vertAnchor="text" w:horzAnchor="page" w:tblpX="1281" w:tblpY="660"/>
        <w:tblOverlap w:val="never"/>
        <w:tblW w:w="9501" w:type="dxa"/>
        <w:tblInd w:w="0" w:type="dxa"/>
        <w:tblLayout w:type="fixed"/>
        <w:tblCellMar>
          <w:top w:w="0" w:type="dxa"/>
          <w:left w:w="108" w:type="dxa"/>
          <w:bottom w:w="0" w:type="dxa"/>
          <w:right w:w="108" w:type="dxa"/>
        </w:tblCellMar>
      </w:tblPr>
      <w:tblGrid>
        <w:gridCol w:w="1909"/>
        <w:gridCol w:w="1105"/>
        <w:gridCol w:w="1581"/>
        <w:gridCol w:w="1151"/>
        <w:gridCol w:w="1184"/>
        <w:gridCol w:w="2331"/>
        <w:gridCol w:w="240"/>
      </w:tblGrid>
      <w:tr>
        <w:tblPrEx>
          <w:tblCellMar>
            <w:top w:w="0" w:type="dxa"/>
            <w:left w:w="108" w:type="dxa"/>
            <w:bottom w:w="0" w:type="dxa"/>
            <w:right w:w="108" w:type="dxa"/>
          </w:tblCellMar>
        </w:tblPrEx>
        <w:trPr>
          <w:trHeight w:val="972" w:hRule="atLeast"/>
        </w:trPr>
        <w:tc>
          <w:tcPr>
            <w:tcW w:w="9262" w:type="dxa"/>
            <w:gridSpan w:val="6"/>
            <w:tcBorders>
              <w:top w:val="nil"/>
              <w:left w:val="nil"/>
              <w:bottom w:val="nil"/>
              <w:right w:val="nil"/>
            </w:tcBorders>
            <w:shd w:val="clear" w:color="auto" w:fill="auto"/>
            <w:vAlign w:val="center"/>
          </w:tcPr>
          <w:p>
            <w:pPr>
              <w:widowControl/>
              <w:jc w:val="center"/>
              <w:textAlignment w:val="center"/>
              <w:rPr>
                <w:rFonts w:ascii="仿宋" w:hAnsi="仿宋" w:eastAsia="仿宋" w:cs="宋体"/>
                <w:b/>
                <w:sz w:val="32"/>
                <w:szCs w:val="32"/>
              </w:rPr>
            </w:pPr>
            <w:r>
              <w:rPr>
                <w:rFonts w:hint="eastAsia" w:ascii="仿宋" w:hAnsi="仿宋" w:eastAsia="仿宋" w:cs="宋体"/>
                <w:b/>
                <w:sz w:val="32"/>
                <w:szCs w:val="32"/>
              </w:rPr>
              <w:t>2021年特定目标类部门预算项目绩效目标自评</w:t>
            </w:r>
          </w:p>
        </w:tc>
        <w:tc>
          <w:tcPr>
            <w:tcW w:w="239" w:type="dxa"/>
            <w:tcBorders>
              <w:top w:val="nil"/>
              <w:left w:val="nil"/>
              <w:bottom w:val="nil"/>
              <w:right w:val="nil"/>
            </w:tcBorders>
            <w:shd w:val="clear" w:color="auto" w:fill="auto"/>
            <w:vAlign w:val="center"/>
          </w:tcPr>
          <w:p>
            <w:pPr>
              <w:widowControl/>
              <w:jc w:val="center"/>
              <w:textAlignment w:val="center"/>
              <w:rPr>
                <w:rFonts w:ascii="仿宋" w:hAnsi="仿宋" w:eastAsia="仿宋" w:cs="宋体"/>
                <w:b/>
                <w:kern w:val="0"/>
                <w:sz w:val="32"/>
                <w:szCs w:val="32"/>
              </w:rPr>
            </w:pPr>
          </w:p>
        </w:tc>
      </w:tr>
      <w:tr>
        <w:tblPrEx>
          <w:tblCellMar>
            <w:top w:w="0" w:type="dxa"/>
            <w:left w:w="108" w:type="dxa"/>
            <w:bottom w:w="0" w:type="dxa"/>
            <w:right w:w="108" w:type="dxa"/>
          </w:tblCellMar>
        </w:tblPrEx>
        <w:trPr>
          <w:gridAfter w:val="1"/>
          <w:wAfter w:w="239" w:type="dxa"/>
          <w:trHeight w:val="365" w:hRule="atLeast"/>
        </w:trPr>
        <w:tc>
          <w:tcPr>
            <w:tcW w:w="30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 w:hAnsi="仿宋" w:eastAsia="仿宋" w:cs="宋体"/>
                <w:sz w:val="18"/>
                <w:szCs w:val="18"/>
              </w:rPr>
            </w:pPr>
            <w:r>
              <w:rPr>
                <w:rFonts w:hint="eastAsia" w:ascii="仿宋" w:hAnsi="仿宋" w:eastAsia="仿宋" w:cs="宋体"/>
                <w:kern w:val="0"/>
                <w:sz w:val="18"/>
                <w:szCs w:val="18"/>
              </w:rPr>
              <w:t>主管部门及代码</w:t>
            </w:r>
          </w:p>
        </w:tc>
        <w:tc>
          <w:tcPr>
            <w:tcW w:w="27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ascii="仿宋" w:hAnsi="仿宋" w:eastAsia="仿宋" w:cs="宋体"/>
                <w:sz w:val="18"/>
                <w:szCs w:val="18"/>
              </w:rPr>
            </w:pPr>
            <w:r>
              <w:rPr>
                <w:rFonts w:hint="eastAsia" w:ascii="仿宋" w:hAnsi="仿宋" w:eastAsia="仿宋" w:cs="宋体"/>
                <w:sz w:val="18"/>
                <w:szCs w:val="18"/>
              </w:rPr>
              <w:t>乐山市市中区教育局115110020085542008</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 w:hAnsi="仿宋" w:eastAsia="仿宋" w:cs="宋体"/>
                <w:sz w:val="18"/>
                <w:szCs w:val="18"/>
              </w:rPr>
            </w:pPr>
            <w:r>
              <w:rPr>
                <w:rFonts w:hint="eastAsia" w:ascii="仿宋" w:hAnsi="仿宋" w:eastAsia="仿宋" w:cs="宋体"/>
                <w:kern w:val="0"/>
                <w:sz w:val="18"/>
                <w:szCs w:val="18"/>
              </w:rPr>
              <w:t>实施单位</w:t>
            </w:r>
          </w:p>
        </w:tc>
        <w:tc>
          <w:tcPr>
            <w:tcW w:w="23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 w:hAnsi="仿宋" w:eastAsia="仿宋" w:cs="宋体"/>
                <w:sz w:val="18"/>
                <w:szCs w:val="18"/>
              </w:rPr>
            </w:pPr>
            <w:r>
              <w:rPr>
                <w:rFonts w:hint="eastAsia" w:ascii="仿宋" w:hAnsi="仿宋" w:eastAsia="仿宋" w:cs="宋体"/>
                <w:sz w:val="18"/>
                <w:szCs w:val="18"/>
              </w:rPr>
              <w:t>乐山市</w:t>
            </w:r>
            <w:r>
              <w:rPr>
                <w:rFonts w:hint="eastAsia" w:ascii="仿宋" w:hAnsi="仿宋" w:eastAsia="仿宋" w:cs="宋体"/>
                <w:sz w:val="18"/>
                <w:szCs w:val="18"/>
                <w:lang w:eastAsia="zh-CN"/>
              </w:rPr>
              <w:t>县街</w:t>
            </w:r>
            <w:r>
              <w:rPr>
                <w:rFonts w:hint="eastAsia" w:ascii="仿宋" w:hAnsi="仿宋" w:eastAsia="仿宋" w:cs="宋体"/>
                <w:sz w:val="18"/>
                <w:szCs w:val="18"/>
              </w:rPr>
              <w:t>小学</w:t>
            </w:r>
          </w:p>
        </w:tc>
      </w:tr>
      <w:tr>
        <w:trPr>
          <w:gridAfter w:val="1"/>
          <w:wAfter w:w="240" w:type="dxa"/>
          <w:trHeight w:val="540" w:hRule="atLeast"/>
        </w:trPr>
        <w:tc>
          <w:tcPr>
            <w:tcW w:w="30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default" w:ascii="仿宋" w:hAnsi="仿宋" w:eastAsia="仿宋" w:cs="宋体"/>
                <w:kern w:val="0"/>
                <w:sz w:val="18"/>
                <w:szCs w:val="18"/>
              </w:rPr>
            </w:pPr>
            <w:r>
              <w:rPr>
                <w:rFonts w:hint="eastAsia" w:ascii="仿宋" w:hAnsi="仿宋" w:eastAsia="仿宋" w:cs="宋体"/>
                <w:kern w:val="0"/>
                <w:sz w:val="18"/>
                <w:szCs w:val="18"/>
              </w:rPr>
              <w:t>项目预算</w:t>
            </w:r>
          </w:p>
          <w:p>
            <w:pPr>
              <w:widowControl/>
              <w:spacing w:line="320" w:lineRule="exact"/>
              <w:jc w:val="center"/>
              <w:textAlignment w:val="center"/>
              <w:rPr>
                <w:rFonts w:hint="default" w:ascii="仿宋" w:hAnsi="仿宋" w:eastAsia="仿宋" w:cs="宋体"/>
                <w:kern w:val="0"/>
                <w:sz w:val="18"/>
                <w:szCs w:val="18"/>
              </w:rPr>
            </w:pPr>
            <w:r>
              <w:rPr>
                <w:rFonts w:hint="eastAsia" w:ascii="仿宋" w:hAnsi="仿宋" w:eastAsia="仿宋" w:cs="宋体"/>
                <w:kern w:val="0"/>
                <w:sz w:val="18"/>
                <w:szCs w:val="18"/>
              </w:rPr>
              <w:t>执行情况</w:t>
            </w:r>
          </w:p>
          <w:p>
            <w:pPr>
              <w:widowControl/>
              <w:spacing w:line="320" w:lineRule="exact"/>
              <w:jc w:val="center"/>
              <w:textAlignment w:val="center"/>
              <w:rPr>
                <w:rFonts w:ascii="仿宋" w:hAnsi="仿宋" w:eastAsia="仿宋" w:cs="宋体"/>
                <w:sz w:val="18"/>
                <w:szCs w:val="18"/>
              </w:rPr>
            </w:pPr>
            <w:r>
              <w:rPr>
                <w:rFonts w:hint="eastAsia" w:ascii="仿宋" w:hAnsi="仿宋" w:eastAsia="仿宋" w:cs="宋体"/>
                <w:kern w:val="0"/>
                <w:sz w:val="18"/>
                <w:szCs w:val="18"/>
              </w:rPr>
              <w:t>（万元）</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 w:hAnsi="仿宋" w:eastAsia="仿宋" w:cs="宋体"/>
                <w:sz w:val="18"/>
                <w:szCs w:val="18"/>
              </w:rPr>
            </w:pPr>
            <w:r>
              <w:rPr>
                <w:rFonts w:hint="eastAsia" w:ascii="仿宋" w:hAnsi="仿宋" w:eastAsia="仿宋" w:cs="宋体"/>
                <w:kern w:val="0"/>
                <w:sz w:val="18"/>
                <w:szCs w:val="18"/>
              </w:rPr>
              <w:t xml:space="preserve"> 预算数：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仿宋" w:hAnsi="仿宋" w:eastAsia="仿宋" w:cs="宋体"/>
                <w:sz w:val="18"/>
                <w:szCs w:val="18"/>
                <w:lang w:val="en-US" w:eastAsia="zh-CN"/>
              </w:rPr>
            </w:pPr>
            <w:r>
              <w:rPr>
                <w:rFonts w:hint="eastAsia" w:ascii="仿宋" w:hAnsi="仿宋" w:eastAsia="仿宋" w:cs="宋体"/>
                <w:sz w:val="18"/>
                <w:szCs w:val="18"/>
              </w:rPr>
              <w:t>1</w:t>
            </w:r>
            <w:r>
              <w:rPr>
                <w:rFonts w:hint="eastAsia" w:ascii="仿宋" w:hAnsi="仿宋" w:eastAsia="仿宋" w:cs="宋体"/>
                <w:sz w:val="18"/>
                <w:szCs w:val="18"/>
                <w:lang w:val="en-US" w:eastAsia="zh-CN"/>
              </w:rPr>
              <w:t>9.18</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 w:hAnsi="仿宋" w:eastAsia="仿宋" w:cs="宋体"/>
                <w:sz w:val="18"/>
                <w:szCs w:val="18"/>
              </w:rPr>
            </w:pPr>
            <w:r>
              <w:rPr>
                <w:rFonts w:hint="eastAsia" w:ascii="仿宋" w:hAnsi="仿宋" w:eastAsia="仿宋" w:cs="宋体"/>
                <w:kern w:val="0"/>
                <w:sz w:val="18"/>
                <w:szCs w:val="18"/>
              </w:rPr>
              <w:t xml:space="preserve"> 执行数：</w:t>
            </w:r>
          </w:p>
        </w:tc>
        <w:tc>
          <w:tcPr>
            <w:tcW w:w="23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right"/>
              <w:textAlignment w:val="center"/>
              <w:rPr>
                <w:rFonts w:hint="default" w:ascii="仿宋" w:hAnsi="仿宋" w:eastAsia="仿宋" w:cs="宋体"/>
                <w:sz w:val="18"/>
                <w:szCs w:val="18"/>
                <w:lang w:val="en-US" w:eastAsia="zh-CN"/>
              </w:rPr>
            </w:pPr>
            <w:r>
              <w:rPr>
                <w:rFonts w:hint="eastAsia" w:ascii="仿宋" w:hAnsi="仿宋" w:eastAsia="仿宋" w:cs="宋体"/>
                <w:sz w:val="18"/>
                <w:szCs w:val="18"/>
              </w:rPr>
              <w:t>1</w:t>
            </w:r>
            <w:r>
              <w:rPr>
                <w:rFonts w:hint="eastAsia" w:ascii="仿宋" w:hAnsi="仿宋" w:eastAsia="仿宋" w:cs="宋体"/>
                <w:sz w:val="18"/>
                <w:szCs w:val="18"/>
                <w:lang w:val="en-US" w:eastAsia="zh-CN"/>
              </w:rPr>
              <w:t>9</w:t>
            </w:r>
            <w:r>
              <w:rPr>
                <w:rFonts w:hint="eastAsia" w:ascii="仿宋" w:hAnsi="仿宋" w:eastAsia="仿宋" w:cs="宋体"/>
                <w:sz w:val="18"/>
                <w:szCs w:val="18"/>
              </w:rPr>
              <w:t>.</w:t>
            </w:r>
            <w:r>
              <w:rPr>
                <w:rFonts w:hint="eastAsia" w:ascii="仿宋" w:hAnsi="仿宋" w:eastAsia="仿宋" w:cs="宋体"/>
                <w:sz w:val="18"/>
                <w:szCs w:val="18"/>
                <w:lang w:val="en-US" w:eastAsia="zh-CN"/>
              </w:rPr>
              <w:t>09</w:t>
            </w:r>
          </w:p>
        </w:tc>
      </w:tr>
      <w:tr>
        <w:tblPrEx>
          <w:tblCellMar>
            <w:top w:w="0" w:type="dxa"/>
            <w:left w:w="108" w:type="dxa"/>
            <w:bottom w:w="0" w:type="dxa"/>
            <w:right w:w="108" w:type="dxa"/>
          </w:tblCellMar>
        </w:tblPrEx>
        <w:trPr>
          <w:gridAfter w:val="1"/>
          <w:wAfter w:w="240" w:type="dxa"/>
          <w:trHeight w:val="800" w:hRule="atLeast"/>
        </w:trPr>
        <w:tc>
          <w:tcPr>
            <w:tcW w:w="3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 w:hAnsi="仿宋" w:eastAsia="仿宋" w:cs="宋体"/>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 w:hAnsi="仿宋" w:eastAsia="仿宋" w:cs="宋体"/>
                <w:kern w:val="0"/>
                <w:sz w:val="18"/>
                <w:szCs w:val="18"/>
              </w:rPr>
            </w:pPr>
            <w:r>
              <w:rPr>
                <w:rFonts w:hint="eastAsia" w:ascii="仿宋" w:hAnsi="仿宋" w:eastAsia="仿宋" w:cs="宋体"/>
                <w:kern w:val="0"/>
                <w:sz w:val="18"/>
                <w:szCs w:val="18"/>
              </w:rPr>
              <w:t>其中：</w:t>
            </w:r>
          </w:p>
          <w:p>
            <w:pPr>
              <w:widowControl/>
              <w:spacing w:line="320" w:lineRule="exact"/>
              <w:jc w:val="left"/>
              <w:textAlignment w:val="center"/>
              <w:rPr>
                <w:rFonts w:ascii="仿宋" w:hAnsi="仿宋" w:eastAsia="仿宋" w:cs="宋体"/>
                <w:sz w:val="18"/>
                <w:szCs w:val="18"/>
              </w:rPr>
            </w:pPr>
            <w:r>
              <w:rPr>
                <w:rFonts w:hint="eastAsia" w:ascii="仿宋" w:hAnsi="仿宋" w:eastAsia="仿宋" w:cs="宋体"/>
                <w:kern w:val="0"/>
                <w:sz w:val="18"/>
                <w:szCs w:val="18"/>
              </w:rPr>
              <w:t>财政拨款</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仿宋" w:hAnsi="仿宋" w:eastAsia="仿宋" w:cs="宋体"/>
                <w:sz w:val="18"/>
                <w:szCs w:val="18"/>
                <w:lang w:val="en-US" w:eastAsia="zh-CN"/>
              </w:rPr>
            </w:pPr>
            <w:r>
              <w:rPr>
                <w:rFonts w:hint="eastAsia" w:ascii="仿宋" w:hAnsi="仿宋" w:eastAsia="仿宋" w:cs="宋体"/>
                <w:sz w:val="18"/>
                <w:szCs w:val="18"/>
              </w:rPr>
              <w:t>1</w:t>
            </w:r>
            <w:r>
              <w:rPr>
                <w:rFonts w:hint="eastAsia" w:ascii="仿宋" w:hAnsi="仿宋" w:eastAsia="仿宋" w:cs="宋体"/>
                <w:sz w:val="18"/>
                <w:szCs w:val="18"/>
                <w:lang w:val="en-US" w:eastAsia="zh-CN"/>
              </w:rPr>
              <w:t>9.18</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 w:hAnsi="仿宋" w:eastAsia="仿宋" w:cs="宋体"/>
                <w:kern w:val="0"/>
                <w:sz w:val="18"/>
                <w:szCs w:val="18"/>
              </w:rPr>
            </w:pPr>
            <w:r>
              <w:rPr>
                <w:rFonts w:hint="eastAsia" w:ascii="仿宋" w:hAnsi="仿宋" w:eastAsia="仿宋" w:cs="宋体"/>
                <w:kern w:val="0"/>
                <w:sz w:val="18"/>
                <w:szCs w:val="18"/>
              </w:rPr>
              <w:t>其中：</w:t>
            </w:r>
          </w:p>
          <w:p>
            <w:pPr>
              <w:widowControl/>
              <w:spacing w:line="320" w:lineRule="exact"/>
              <w:jc w:val="left"/>
              <w:textAlignment w:val="center"/>
              <w:rPr>
                <w:rFonts w:ascii="仿宋" w:hAnsi="仿宋" w:eastAsia="仿宋" w:cs="宋体"/>
                <w:sz w:val="18"/>
                <w:szCs w:val="18"/>
              </w:rPr>
            </w:pPr>
            <w:r>
              <w:rPr>
                <w:rFonts w:hint="eastAsia" w:ascii="仿宋" w:hAnsi="仿宋" w:eastAsia="仿宋" w:cs="宋体"/>
                <w:kern w:val="0"/>
                <w:sz w:val="18"/>
                <w:szCs w:val="18"/>
              </w:rPr>
              <w:t>财政拨款</w:t>
            </w:r>
          </w:p>
        </w:tc>
        <w:tc>
          <w:tcPr>
            <w:tcW w:w="23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right"/>
              <w:textAlignment w:val="center"/>
              <w:rPr>
                <w:rFonts w:hint="default" w:ascii="仿宋" w:hAnsi="仿宋" w:eastAsia="仿宋" w:cs="宋体"/>
                <w:sz w:val="18"/>
                <w:szCs w:val="18"/>
                <w:lang w:val="en-US" w:eastAsia="zh-CN"/>
              </w:rPr>
            </w:pPr>
            <w:r>
              <w:rPr>
                <w:rFonts w:hint="eastAsia" w:ascii="仿宋" w:hAnsi="仿宋" w:eastAsia="仿宋" w:cs="宋体"/>
                <w:sz w:val="18"/>
                <w:szCs w:val="18"/>
              </w:rPr>
              <w:t>1</w:t>
            </w:r>
            <w:r>
              <w:rPr>
                <w:rFonts w:hint="eastAsia" w:ascii="仿宋" w:hAnsi="仿宋" w:eastAsia="仿宋" w:cs="宋体"/>
                <w:sz w:val="18"/>
                <w:szCs w:val="18"/>
                <w:lang w:val="en-US" w:eastAsia="zh-CN"/>
              </w:rPr>
              <w:t>9.18</w:t>
            </w:r>
          </w:p>
        </w:tc>
      </w:tr>
      <w:tr>
        <w:tblPrEx>
          <w:tblCellMar>
            <w:top w:w="0" w:type="dxa"/>
            <w:left w:w="108" w:type="dxa"/>
            <w:bottom w:w="0" w:type="dxa"/>
            <w:right w:w="108" w:type="dxa"/>
          </w:tblCellMar>
        </w:tblPrEx>
        <w:trPr>
          <w:gridAfter w:val="1"/>
          <w:wAfter w:w="240" w:type="dxa"/>
          <w:trHeight w:val="491" w:hRule="atLeast"/>
        </w:trPr>
        <w:tc>
          <w:tcPr>
            <w:tcW w:w="3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 w:hAnsi="仿宋" w:eastAsia="仿宋" w:cs="宋体"/>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 w:hAnsi="仿宋" w:eastAsia="仿宋" w:cs="宋体"/>
                <w:sz w:val="18"/>
                <w:szCs w:val="18"/>
              </w:rPr>
            </w:pPr>
            <w:r>
              <w:rPr>
                <w:rFonts w:hint="eastAsia" w:ascii="仿宋" w:hAnsi="仿宋" w:eastAsia="仿宋" w:cs="宋体"/>
                <w:kern w:val="0"/>
                <w:sz w:val="18"/>
                <w:szCs w:val="18"/>
              </w:rPr>
              <w:t>其他资金</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 w:hAnsi="仿宋" w:eastAsia="仿宋" w:cs="宋体"/>
                <w:sz w:val="18"/>
                <w:szCs w:val="18"/>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 w:hAnsi="仿宋" w:eastAsia="仿宋" w:cs="宋体"/>
                <w:sz w:val="18"/>
                <w:szCs w:val="18"/>
              </w:rPr>
            </w:pPr>
            <w:r>
              <w:rPr>
                <w:rFonts w:hint="eastAsia" w:ascii="仿宋" w:hAnsi="仿宋" w:eastAsia="仿宋" w:cs="宋体"/>
                <w:kern w:val="0"/>
                <w:sz w:val="18"/>
                <w:szCs w:val="18"/>
              </w:rPr>
              <w:t>其他资金</w:t>
            </w:r>
          </w:p>
        </w:tc>
        <w:tc>
          <w:tcPr>
            <w:tcW w:w="23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 w:hAnsi="仿宋" w:eastAsia="仿宋" w:cs="宋体"/>
                <w:sz w:val="18"/>
                <w:szCs w:val="18"/>
              </w:rPr>
            </w:pPr>
          </w:p>
        </w:tc>
      </w:tr>
      <w:tr>
        <w:tblPrEx>
          <w:tblCellMar>
            <w:top w:w="0" w:type="dxa"/>
            <w:left w:w="108" w:type="dxa"/>
            <w:bottom w:w="0" w:type="dxa"/>
            <w:right w:w="108" w:type="dxa"/>
          </w:tblCellMar>
        </w:tblPrEx>
        <w:trPr>
          <w:gridAfter w:val="1"/>
          <w:wAfter w:w="239" w:type="dxa"/>
          <w:trHeight w:val="312" w:hRule="atLeast"/>
        </w:trPr>
        <w:tc>
          <w:tcPr>
            <w:tcW w:w="19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 w:hAnsi="仿宋" w:eastAsia="仿宋" w:cs="宋体"/>
                <w:kern w:val="0"/>
                <w:sz w:val="18"/>
                <w:szCs w:val="18"/>
              </w:rPr>
            </w:pPr>
            <w:r>
              <w:rPr>
                <w:rFonts w:hint="eastAsia" w:ascii="仿宋" w:hAnsi="仿宋" w:eastAsia="仿宋" w:cs="宋体"/>
                <w:kern w:val="0"/>
                <w:sz w:val="18"/>
                <w:szCs w:val="18"/>
              </w:rPr>
              <w:t>年度总体目标</w:t>
            </w:r>
          </w:p>
          <w:p>
            <w:pPr>
              <w:widowControl/>
              <w:spacing w:line="320" w:lineRule="exact"/>
              <w:jc w:val="center"/>
              <w:textAlignment w:val="center"/>
              <w:rPr>
                <w:rFonts w:ascii="仿宋" w:hAnsi="仿宋" w:eastAsia="仿宋" w:cs="宋体"/>
                <w:sz w:val="18"/>
                <w:szCs w:val="18"/>
              </w:rPr>
            </w:pPr>
            <w:r>
              <w:rPr>
                <w:rFonts w:hint="eastAsia" w:ascii="仿宋" w:hAnsi="仿宋" w:eastAsia="仿宋" w:cs="宋体"/>
                <w:kern w:val="0"/>
                <w:sz w:val="18"/>
                <w:szCs w:val="18"/>
              </w:rPr>
              <w:t>完成情况</w:t>
            </w: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 w:hAnsi="仿宋" w:eastAsia="仿宋" w:cs="宋体"/>
                <w:sz w:val="18"/>
                <w:szCs w:val="18"/>
              </w:rPr>
            </w:pPr>
            <w:r>
              <w:rPr>
                <w:rFonts w:hint="eastAsia" w:ascii="仿宋" w:hAnsi="仿宋" w:eastAsia="仿宋" w:cs="宋体"/>
                <w:kern w:val="0"/>
                <w:sz w:val="18"/>
                <w:szCs w:val="18"/>
              </w:rPr>
              <w:t>预期目标</w:t>
            </w:r>
          </w:p>
        </w:tc>
        <w:tc>
          <w:tcPr>
            <w:tcW w:w="35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 w:hAnsi="仿宋" w:eastAsia="仿宋" w:cs="宋体"/>
                <w:sz w:val="18"/>
                <w:szCs w:val="18"/>
              </w:rPr>
            </w:pPr>
            <w:r>
              <w:rPr>
                <w:rFonts w:hint="eastAsia" w:ascii="仿宋" w:hAnsi="仿宋" w:eastAsia="仿宋" w:cs="宋体"/>
                <w:kern w:val="0"/>
                <w:sz w:val="18"/>
                <w:szCs w:val="18"/>
              </w:rPr>
              <w:t>目标实际完成情况</w:t>
            </w:r>
          </w:p>
        </w:tc>
      </w:tr>
      <w:tr>
        <w:tblPrEx>
          <w:tblCellMar>
            <w:top w:w="0" w:type="dxa"/>
            <w:left w:w="108" w:type="dxa"/>
            <w:bottom w:w="0" w:type="dxa"/>
            <w:right w:w="108" w:type="dxa"/>
          </w:tblCellMar>
        </w:tblPrEx>
        <w:trPr>
          <w:gridAfter w:val="1"/>
          <w:wAfter w:w="239" w:type="dxa"/>
          <w:trHeight w:val="1147" w:hRule="atLeast"/>
        </w:trPr>
        <w:tc>
          <w:tcPr>
            <w:tcW w:w="191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spacing w:line="320" w:lineRule="exact"/>
              <w:jc w:val="center"/>
              <w:rPr>
                <w:rFonts w:ascii="仿宋" w:hAnsi="仿宋" w:eastAsia="仿宋" w:cs="宋体"/>
                <w:sz w:val="18"/>
                <w:szCs w:val="18"/>
              </w:rPr>
            </w:pPr>
          </w:p>
        </w:tc>
        <w:tc>
          <w:tcPr>
            <w:tcW w:w="3837" w:type="dxa"/>
            <w:gridSpan w:val="3"/>
            <w:tcBorders>
              <w:top w:val="single" w:color="000000" w:sz="4" w:space="0"/>
              <w:left w:val="single" w:color="000000" w:sz="4" w:space="0"/>
              <w:bottom w:val="single" w:color="auto" w:sz="4" w:space="0"/>
              <w:right w:val="single" w:color="000000" w:sz="4" w:space="0"/>
            </w:tcBorders>
            <w:shd w:val="clear" w:color="auto" w:fill="auto"/>
          </w:tcPr>
          <w:p>
            <w:pPr>
              <w:widowControl/>
              <w:spacing w:line="320" w:lineRule="exact"/>
              <w:jc w:val="left"/>
              <w:textAlignment w:val="top"/>
              <w:rPr>
                <w:rFonts w:ascii="仿宋" w:hAnsi="仿宋" w:eastAsia="仿宋" w:cs="宋体"/>
                <w:sz w:val="18"/>
                <w:szCs w:val="18"/>
              </w:rPr>
            </w:pPr>
            <w:r>
              <w:rPr>
                <w:rFonts w:hint="eastAsia" w:ascii="仿宋" w:hAnsi="仿宋" w:eastAsia="仿宋" w:cs="宋体"/>
                <w:sz w:val="18"/>
                <w:szCs w:val="18"/>
              </w:rPr>
              <w:t>通过劳务派遣的方式，聘请3名保安完成校园安保工作，营造良好教育环境，保障校园师生及校产安全，以利正常保教秩序开展</w:t>
            </w:r>
          </w:p>
        </w:tc>
        <w:tc>
          <w:tcPr>
            <w:tcW w:w="3515" w:type="dxa"/>
            <w:gridSpan w:val="2"/>
            <w:tcBorders>
              <w:top w:val="single" w:color="000000" w:sz="4" w:space="0"/>
              <w:left w:val="single" w:color="000000" w:sz="4" w:space="0"/>
              <w:bottom w:val="single" w:color="auto" w:sz="4" w:space="0"/>
              <w:right w:val="single" w:color="000000" w:sz="4" w:space="0"/>
            </w:tcBorders>
            <w:shd w:val="clear" w:color="auto" w:fill="auto"/>
          </w:tcPr>
          <w:p>
            <w:pPr>
              <w:widowControl/>
              <w:spacing w:line="320" w:lineRule="exact"/>
              <w:jc w:val="left"/>
              <w:textAlignment w:val="top"/>
              <w:rPr>
                <w:rFonts w:ascii="仿宋" w:hAnsi="仿宋" w:eastAsia="仿宋" w:cs="宋体"/>
                <w:sz w:val="18"/>
                <w:szCs w:val="18"/>
              </w:rPr>
            </w:pPr>
            <w:r>
              <w:rPr>
                <w:rFonts w:hint="eastAsia" w:ascii="仿宋" w:hAnsi="仿宋" w:eastAsia="仿宋" w:cs="宋体"/>
                <w:sz w:val="18"/>
                <w:szCs w:val="18"/>
              </w:rPr>
              <w:t>全部完成</w:t>
            </w:r>
          </w:p>
        </w:tc>
      </w:tr>
      <w:tr>
        <w:tblPrEx>
          <w:tblCellMar>
            <w:top w:w="0" w:type="dxa"/>
            <w:left w:w="108" w:type="dxa"/>
            <w:bottom w:w="0" w:type="dxa"/>
            <w:right w:w="108" w:type="dxa"/>
          </w:tblCellMar>
        </w:tblPrEx>
        <w:trPr>
          <w:gridAfter w:val="1"/>
          <w:wAfter w:w="240" w:type="dxa"/>
          <w:trHeight w:val="998" w:hRule="atLeast"/>
        </w:trPr>
        <w:tc>
          <w:tcPr>
            <w:tcW w:w="19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仿宋" w:hAnsi="仿宋" w:eastAsia="仿宋" w:cs="仿宋_GB2312"/>
                <w:sz w:val="18"/>
                <w:szCs w:val="18"/>
              </w:rPr>
            </w:pPr>
            <w:r>
              <w:rPr>
                <w:rFonts w:hint="eastAsia" w:ascii="仿宋" w:hAnsi="仿宋" w:eastAsia="仿宋" w:cs="仿宋_GB2312"/>
                <w:kern w:val="0"/>
                <w:sz w:val="18"/>
                <w:szCs w:val="18"/>
              </w:rPr>
              <w:t>年度绩效指标完成情况</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仿宋" w:hAnsi="仿宋" w:eastAsia="仿宋" w:cs="仿宋_GB2312"/>
                <w:kern w:val="0"/>
                <w:sz w:val="18"/>
                <w:szCs w:val="18"/>
              </w:rPr>
            </w:pPr>
            <w:r>
              <w:rPr>
                <w:rFonts w:hint="eastAsia" w:ascii="仿宋" w:hAnsi="仿宋" w:eastAsia="仿宋" w:cs="仿宋_GB2312"/>
                <w:kern w:val="0"/>
                <w:sz w:val="18"/>
                <w:szCs w:val="18"/>
              </w:rPr>
              <w:t>一级</w:t>
            </w:r>
          </w:p>
          <w:p>
            <w:pPr>
              <w:widowControl/>
              <w:spacing w:line="320" w:lineRule="exact"/>
              <w:jc w:val="center"/>
              <w:textAlignment w:val="center"/>
              <w:rPr>
                <w:rFonts w:ascii="仿宋" w:hAnsi="仿宋" w:eastAsia="仿宋" w:cs="仿宋_GB2312"/>
                <w:sz w:val="18"/>
                <w:szCs w:val="18"/>
              </w:rPr>
            </w:pPr>
            <w:r>
              <w:rPr>
                <w:rFonts w:hint="eastAsia" w:ascii="仿宋" w:hAnsi="仿宋" w:eastAsia="仿宋" w:cs="仿宋_GB2312"/>
                <w:kern w:val="0"/>
                <w:sz w:val="18"/>
                <w:szCs w:val="18"/>
              </w:rPr>
              <w:t>指标</w:t>
            </w:r>
          </w:p>
        </w:tc>
        <w:tc>
          <w:tcPr>
            <w:tcW w:w="15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仿宋" w:hAnsi="仿宋" w:eastAsia="仿宋" w:cs="仿宋_GB2312"/>
                <w:kern w:val="0"/>
                <w:sz w:val="18"/>
                <w:szCs w:val="18"/>
              </w:rPr>
            </w:pPr>
            <w:r>
              <w:rPr>
                <w:rFonts w:hint="eastAsia" w:ascii="仿宋" w:hAnsi="仿宋" w:eastAsia="仿宋" w:cs="仿宋_GB2312"/>
                <w:kern w:val="0"/>
                <w:sz w:val="18"/>
                <w:szCs w:val="18"/>
              </w:rPr>
              <w:t>二级</w:t>
            </w:r>
          </w:p>
          <w:p>
            <w:pPr>
              <w:widowControl/>
              <w:spacing w:line="320" w:lineRule="exact"/>
              <w:jc w:val="center"/>
              <w:textAlignment w:val="center"/>
              <w:rPr>
                <w:rFonts w:ascii="仿宋" w:hAnsi="仿宋" w:eastAsia="仿宋" w:cs="仿宋_GB2312"/>
                <w:sz w:val="18"/>
                <w:szCs w:val="18"/>
              </w:rPr>
            </w:pPr>
            <w:r>
              <w:rPr>
                <w:rFonts w:hint="eastAsia" w:ascii="仿宋" w:hAnsi="仿宋" w:eastAsia="仿宋" w:cs="仿宋_GB2312"/>
                <w:kern w:val="0"/>
                <w:sz w:val="18"/>
                <w:szCs w:val="18"/>
              </w:rPr>
              <w:t>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仿宋" w:hAnsi="仿宋" w:eastAsia="仿宋" w:cs="仿宋_GB2312"/>
                <w:kern w:val="0"/>
                <w:sz w:val="18"/>
                <w:szCs w:val="18"/>
              </w:rPr>
            </w:pPr>
            <w:r>
              <w:rPr>
                <w:rFonts w:hint="eastAsia" w:ascii="仿宋" w:hAnsi="仿宋" w:eastAsia="仿宋" w:cs="仿宋_GB2312"/>
                <w:kern w:val="0"/>
                <w:sz w:val="18"/>
                <w:szCs w:val="18"/>
              </w:rPr>
              <w:t>三级</w:t>
            </w:r>
          </w:p>
          <w:p>
            <w:pPr>
              <w:widowControl/>
              <w:spacing w:line="320" w:lineRule="exact"/>
              <w:jc w:val="center"/>
              <w:textAlignment w:val="center"/>
              <w:rPr>
                <w:rFonts w:ascii="仿宋" w:hAnsi="仿宋" w:eastAsia="仿宋" w:cs="仿宋_GB2312"/>
                <w:sz w:val="18"/>
                <w:szCs w:val="18"/>
              </w:rPr>
            </w:pPr>
            <w:r>
              <w:rPr>
                <w:rFonts w:hint="eastAsia" w:ascii="仿宋" w:hAnsi="仿宋" w:eastAsia="仿宋" w:cs="仿宋_GB2312"/>
                <w:kern w:val="0"/>
                <w:sz w:val="18"/>
                <w:szCs w:val="18"/>
              </w:rPr>
              <w:t>指标</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仿宋" w:hAnsi="仿宋" w:eastAsia="仿宋" w:cs="仿宋_GB2312"/>
                <w:sz w:val="18"/>
                <w:szCs w:val="18"/>
              </w:rPr>
            </w:pPr>
            <w:r>
              <w:rPr>
                <w:rFonts w:hint="eastAsia" w:ascii="仿宋" w:hAnsi="仿宋" w:eastAsia="仿宋" w:cs="仿宋_GB2312"/>
                <w:kern w:val="0"/>
                <w:sz w:val="18"/>
                <w:szCs w:val="18"/>
              </w:rPr>
              <w:t>预期指标值</w:t>
            </w:r>
          </w:p>
        </w:tc>
        <w:tc>
          <w:tcPr>
            <w:tcW w:w="23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仿宋" w:hAnsi="仿宋" w:eastAsia="仿宋" w:cs="仿宋_GB2312"/>
                <w:sz w:val="18"/>
                <w:szCs w:val="18"/>
              </w:rPr>
            </w:pPr>
            <w:r>
              <w:rPr>
                <w:rFonts w:hint="eastAsia" w:ascii="仿宋" w:hAnsi="仿宋" w:eastAsia="仿宋" w:cs="仿宋_GB2312"/>
                <w:kern w:val="0"/>
                <w:sz w:val="18"/>
                <w:szCs w:val="18"/>
              </w:rPr>
              <w:t>实际完成指标值</w:t>
            </w:r>
          </w:p>
        </w:tc>
      </w:tr>
      <w:tr>
        <w:tblPrEx>
          <w:tblCellMar>
            <w:top w:w="0" w:type="dxa"/>
            <w:left w:w="108" w:type="dxa"/>
            <w:bottom w:w="0" w:type="dxa"/>
            <w:right w:w="108" w:type="dxa"/>
          </w:tblCellMar>
        </w:tblPrEx>
        <w:trPr>
          <w:gridAfter w:val="1"/>
          <w:wAfter w:w="240" w:type="dxa"/>
          <w:trHeight w:val="597"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仿宋" w:hAnsi="仿宋" w:eastAsia="仿宋" w:cs="仿宋_GB2312"/>
                <w:kern w:val="0"/>
                <w:sz w:val="18"/>
                <w:szCs w:val="18"/>
              </w:rPr>
            </w:pPr>
            <w:r>
              <w:rPr>
                <w:rFonts w:hint="eastAsia" w:ascii="仿宋" w:hAnsi="仿宋" w:eastAsia="仿宋" w:cs="仿宋_GB2312"/>
                <w:kern w:val="0"/>
                <w:sz w:val="18"/>
                <w:szCs w:val="18"/>
              </w:rPr>
              <w:t>完成</w:t>
            </w:r>
          </w:p>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指标</w:t>
            </w: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数量指标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校园安保人数</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4</w:t>
            </w: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4</w:t>
            </w:r>
          </w:p>
        </w:tc>
      </w:tr>
      <w:tr>
        <w:tblPrEx>
          <w:tblCellMar>
            <w:top w:w="0" w:type="dxa"/>
            <w:left w:w="108" w:type="dxa"/>
            <w:bottom w:w="0" w:type="dxa"/>
            <w:right w:w="108" w:type="dxa"/>
          </w:tblCellMar>
        </w:tblPrEx>
        <w:trPr>
          <w:gridAfter w:val="1"/>
          <w:wAfter w:w="240" w:type="dxa"/>
          <w:trHeight w:val="597"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bottom"/>
          </w:tcPr>
          <w:p>
            <w:pPr>
              <w:spacing w:line="320" w:lineRule="exact"/>
              <w:jc w:val="center"/>
              <w:rPr>
                <w:rFonts w:ascii="仿宋" w:hAnsi="仿宋" w:eastAsia="仿宋" w:cs="仿宋_GB2312"/>
                <w:sz w:val="18"/>
                <w:szCs w:val="18"/>
              </w:rPr>
            </w:pP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质量指标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工资发放准确率</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tabs>
                <w:tab w:val="left" w:pos="374"/>
              </w:tabs>
              <w:spacing w:line="320" w:lineRule="exact"/>
              <w:jc w:val="left"/>
              <w:textAlignment w:val="bottom"/>
              <w:rPr>
                <w:rFonts w:ascii="仿宋" w:hAnsi="仿宋" w:eastAsia="仿宋" w:cs="仿宋_GB2312"/>
                <w:sz w:val="18"/>
                <w:szCs w:val="18"/>
              </w:rPr>
            </w:pPr>
            <w:r>
              <w:rPr>
                <w:rFonts w:hint="eastAsia" w:ascii="仿宋" w:hAnsi="仿宋" w:eastAsia="仿宋" w:cs="仿宋_GB2312"/>
                <w:sz w:val="18"/>
                <w:szCs w:val="18"/>
              </w:rPr>
              <w:tab/>
            </w:r>
            <w:r>
              <w:rPr>
                <w:rFonts w:hint="eastAsia" w:ascii="仿宋" w:hAnsi="仿宋" w:eastAsia="仿宋" w:cs="仿宋_GB2312"/>
                <w:sz w:val="18"/>
                <w:szCs w:val="18"/>
              </w:rPr>
              <w:t>100%</w:t>
            </w: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100%</w:t>
            </w:r>
          </w:p>
        </w:tc>
      </w:tr>
      <w:tr>
        <w:tblPrEx>
          <w:tblCellMar>
            <w:top w:w="0" w:type="dxa"/>
            <w:left w:w="108" w:type="dxa"/>
            <w:bottom w:w="0" w:type="dxa"/>
            <w:right w:w="108" w:type="dxa"/>
          </w:tblCellMar>
        </w:tblPrEx>
        <w:trPr>
          <w:gridAfter w:val="1"/>
          <w:wAfter w:w="240" w:type="dxa"/>
          <w:trHeight w:val="597"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bottom"/>
          </w:tcPr>
          <w:p>
            <w:pPr>
              <w:spacing w:line="320" w:lineRule="exact"/>
              <w:jc w:val="center"/>
              <w:rPr>
                <w:rFonts w:ascii="仿宋" w:hAnsi="仿宋" w:eastAsia="仿宋" w:cs="仿宋_GB2312"/>
                <w:sz w:val="18"/>
                <w:szCs w:val="18"/>
              </w:rPr>
            </w:pP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时效指标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工资发放时间周期</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12</w:t>
            </w: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12</w:t>
            </w:r>
          </w:p>
        </w:tc>
      </w:tr>
      <w:tr>
        <w:tblPrEx>
          <w:tblCellMar>
            <w:top w:w="0" w:type="dxa"/>
            <w:left w:w="108" w:type="dxa"/>
            <w:bottom w:w="0" w:type="dxa"/>
            <w:right w:w="108" w:type="dxa"/>
          </w:tblCellMar>
        </w:tblPrEx>
        <w:trPr>
          <w:gridAfter w:val="1"/>
          <w:wAfter w:w="240" w:type="dxa"/>
          <w:trHeight w:val="691"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bottom"/>
          </w:tcPr>
          <w:p>
            <w:pPr>
              <w:spacing w:line="320" w:lineRule="exact"/>
              <w:jc w:val="center"/>
              <w:rPr>
                <w:rFonts w:ascii="仿宋" w:hAnsi="仿宋" w:eastAsia="仿宋" w:cs="仿宋_GB2312"/>
                <w:sz w:val="18"/>
                <w:szCs w:val="18"/>
              </w:rPr>
            </w:pP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成本指标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校园安保经费</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3.84万元/人.年</w:t>
            </w: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3.84万/人。年</w:t>
            </w:r>
          </w:p>
        </w:tc>
      </w:tr>
      <w:tr>
        <w:tblPrEx>
          <w:tblCellMar>
            <w:top w:w="0" w:type="dxa"/>
            <w:left w:w="108" w:type="dxa"/>
            <w:bottom w:w="0" w:type="dxa"/>
            <w:right w:w="108" w:type="dxa"/>
          </w:tblCellMar>
        </w:tblPrEx>
        <w:trPr>
          <w:gridAfter w:val="1"/>
          <w:wAfter w:w="240" w:type="dxa"/>
          <w:trHeight w:val="691"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hint="default" w:ascii="仿宋" w:hAnsi="仿宋" w:eastAsia="仿宋" w:cs="仿宋_GB2312"/>
                <w:kern w:val="0"/>
                <w:sz w:val="18"/>
                <w:szCs w:val="18"/>
              </w:rPr>
            </w:pPr>
            <w:r>
              <w:rPr>
                <w:rFonts w:hint="eastAsia" w:ascii="仿宋" w:hAnsi="仿宋" w:eastAsia="仿宋" w:cs="仿宋_GB2312"/>
                <w:kern w:val="0"/>
                <w:sz w:val="18"/>
                <w:szCs w:val="18"/>
              </w:rPr>
              <w:t>效益</w:t>
            </w:r>
          </w:p>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指标</w:t>
            </w: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经济效益  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r>
      <w:tr>
        <w:tblPrEx>
          <w:tblCellMar>
            <w:top w:w="0" w:type="dxa"/>
            <w:left w:w="108" w:type="dxa"/>
            <w:bottom w:w="0" w:type="dxa"/>
            <w:right w:w="108" w:type="dxa"/>
          </w:tblCellMar>
        </w:tblPrEx>
        <w:trPr>
          <w:gridAfter w:val="1"/>
          <w:wAfter w:w="240" w:type="dxa"/>
          <w:trHeight w:val="691"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bottom"/>
          </w:tcPr>
          <w:p>
            <w:pPr>
              <w:spacing w:line="320" w:lineRule="exact"/>
              <w:jc w:val="center"/>
              <w:rPr>
                <w:rFonts w:ascii="仿宋" w:hAnsi="仿宋" w:eastAsia="仿宋" w:cs="仿宋_GB2312"/>
                <w:sz w:val="18"/>
                <w:szCs w:val="18"/>
              </w:rPr>
            </w:pP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社会效益  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校园安全事故发生率</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0%</w:t>
            </w: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0%</w:t>
            </w:r>
          </w:p>
        </w:tc>
      </w:tr>
      <w:tr>
        <w:tblPrEx>
          <w:tblCellMar>
            <w:top w:w="0" w:type="dxa"/>
            <w:left w:w="108" w:type="dxa"/>
            <w:bottom w:w="0" w:type="dxa"/>
            <w:right w:w="108" w:type="dxa"/>
          </w:tblCellMar>
        </w:tblPrEx>
        <w:trPr>
          <w:gridAfter w:val="1"/>
          <w:wAfter w:w="240" w:type="dxa"/>
          <w:trHeight w:val="830"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bottom"/>
          </w:tcPr>
          <w:p>
            <w:pPr>
              <w:spacing w:line="320" w:lineRule="exact"/>
              <w:jc w:val="center"/>
              <w:rPr>
                <w:rFonts w:ascii="仿宋" w:hAnsi="仿宋" w:eastAsia="仿宋" w:cs="仿宋_GB2312"/>
                <w:sz w:val="18"/>
                <w:szCs w:val="18"/>
              </w:rPr>
            </w:pP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ind w:left="363" w:leftChars="87" w:hanging="180" w:hangingChars="100"/>
              <w:jc w:val="left"/>
              <w:textAlignment w:val="bottom"/>
              <w:rPr>
                <w:rFonts w:ascii="仿宋" w:hAnsi="仿宋" w:eastAsia="仿宋" w:cs="仿宋_GB2312"/>
                <w:sz w:val="18"/>
                <w:szCs w:val="18"/>
              </w:rPr>
            </w:pPr>
            <w:r>
              <w:rPr>
                <w:rFonts w:hint="eastAsia" w:ascii="仿宋" w:hAnsi="仿宋" w:eastAsia="仿宋" w:cs="仿宋_GB2312"/>
                <w:kern w:val="0"/>
                <w:sz w:val="18"/>
                <w:szCs w:val="18"/>
              </w:rPr>
              <w:t>生态效益  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r>
      <w:tr>
        <w:tblPrEx>
          <w:tblCellMar>
            <w:top w:w="0" w:type="dxa"/>
            <w:left w:w="108" w:type="dxa"/>
            <w:bottom w:w="0" w:type="dxa"/>
            <w:right w:w="108" w:type="dxa"/>
          </w:tblCellMar>
        </w:tblPrEx>
        <w:trPr>
          <w:gridAfter w:val="1"/>
          <w:wAfter w:w="240" w:type="dxa"/>
          <w:trHeight w:val="691"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bottom"/>
          </w:tcPr>
          <w:p>
            <w:pPr>
              <w:spacing w:line="320" w:lineRule="exact"/>
              <w:jc w:val="center"/>
              <w:rPr>
                <w:rFonts w:ascii="仿宋" w:hAnsi="仿宋" w:eastAsia="仿宋" w:cs="仿宋_GB2312"/>
                <w:sz w:val="18"/>
                <w:szCs w:val="18"/>
              </w:rPr>
            </w:pP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可持续影响 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r>
      <w:tr>
        <w:tblPrEx>
          <w:tblCellMar>
            <w:top w:w="0" w:type="dxa"/>
            <w:left w:w="108" w:type="dxa"/>
            <w:bottom w:w="0" w:type="dxa"/>
            <w:right w:w="108" w:type="dxa"/>
          </w:tblCellMar>
        </w:tblPrEx>
        <w:trPr>
          <w:gridAfter w:val="1"/>
          <w:wAfter w:w="240" w:type="dxa"/>
          <w:trHeight w:val="762"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hint="default" w:ascii="仿宋" w:hAnsi="仿宋" w:eastAsia="仿宋" w:cs="仿宋_GB2312"/>
                <w:kern w:val="0"/>
                <w:sz w:val="18"/>
                <w:szCs w:val="18"/>
              </w:rPr>
            </w:pPr>
            <w:r>
              <w:rPr>
                <w:rFonts w:hint="eastAsia" w:ascii="仿宋" w:hAnsi="仿宋" w:eastAsia="仿宋" w:cs="仿宋_GB2312"/>
                <w:kern w:val="0"/>
                <w:sz w:val="18"/>
                <w:szCs w:val="18"/>
              </w:rPr>
              <w:t>满意</w:t>
            </w:r>
          </w:p>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度指标</w:t>
            </w: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kern w:val="0"/>
                <w:sz w:val="18"/>
                <w:szCs w:val="18"/>
              </w:rPr>
            </w:pPr>
            <w:r>
              <w:rPr>
                <w:rFonts w:hint="eastAsia" w:ascii="仿宋" w:hAnsi="仿宋" w:eastAsia="仿宋" w:cs="仿宋_GB2312"/>
                <w:kern w:val="0"/>
                <w:sz w:val="18"/>
                <w:szCs w:val="18"/>
              </w:rPr>
              <w:t>满意度</w:t>
            </w:r>
          </w:p>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安保人员满意度</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98%</w:t>
            </w: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98%</w:t>
            </w:r>
          </w:p>
        </w:tc>
      </w:tr>
    </w:tbl>
    <w:p>
      <w:pPr>
        <w:pStyle w:val="32"/>
        <w:spacing w:line="600" w:lineRule="exact"/>
        <w:rPr>
          <w:rFonts w:ascii="仿宋" w:hAnsi="仿宋" w:eastAsia="仿宋"/>
          <w:b/>
          <w:sz w:val="32"/>
          <w:szCs w:val="32"/>
        </w:rPr>
      </w:pPr>
      <w:r>
        <w:rPr>
          <w:rFonts w:hint="eastAsia" w:ascii="仿宋" w:hAnsi="仿宋" w:eastAsia="仿宋"/>
          <w:b/>
          <w:sz w:val="32"/>
          <w:szCs w:val="32"/>
        </w:rPr>
        <w:t>附件3</w:t>
      </w:r>
    </w:p>
    <w:p>
      <w:pPr>
        <w:pStyle w:val="32"/>
        <w:spacing w:line="600" w:lineRule="exact"/>
        <w:jc w:val="left"/>
        <w:rPr>
          <w:rFonts w:ascii="仿宋" w:hAnsi="仿宋" w:eastAsia="仿宋"/>
          <w:b/>
          <w:sz w:val="44"/>
          <w:szCs w:val="44"/>
        </w:rPr>
      </w:pPr>
    </w:p>
    <w:p>
      <w:pPr>
        <w:pStyle w:val="32"/>
        <w:spacing w:line="600" w:lineRule="exact"/>
        <w:jc w:val="left"/>
        <w:rPr>
          <w:rFonts w:ascii="仿宋" w:hAnsi="仿宋" w:eastAsia="仿宋"/>
          <w:color w:val="auto"/>
          <w:kern w:val="2"/>
          <w:sz w:val="30"/>
          <w:szCs w:val="30"/>
        </w:rPr>
      </w:pPr>
      <w:r>
        <w:rPr>
          <w:rFonts w:hint="eastAsia" w:ascii="仿宋" w:hAnsi="仿宋" w:eastAsia="仿宋"/>
          <w:color w:val="auto"/>
          <w:kern w:val="2"/>
          <w:sz w:val="30"/>
          <w:szCs w:val="30"/>
        </w:rPr>
        <w:t>附件4</w:t>
      </w:r>
    </w:p>
    <w:p>
      <w:pPr>
        <w:snapToGrid w:val="0"/>
        <w:spacing w:line="600" w:lineRule="exact"/>
        <w:jc w:val="center"/>
        <w:rPr>
          <w:rFonts w:cs="仿宋_GB2312" w:asciiTheme="majorEastAsia" w:hAnsiTheme="majorEastAsia" w:eastAsiaTheme="majorEastAsia"/>
          <w:kern w:val="0"/>
          <w:sz w:val="44"/>
          <w:szCs w:val="44"/>
        </w:rPr>
      </w:pPr>
      <w:r>
        <w:rPr>
          <w:rFonts w:hint="eastAsia" w:cs="仿宋_GB2312" w:asciiTheme="majorEastAsia" w:hAnsiTheme="majorEastAsia" w:eastAsiaTheme="majorEastAsia"/>
          <w:kern w:val="0"/>
          <w:sz w:val="44"/>
          <w:szCs w:val="44"/>
        </w:rPr>
        <w:t>乐</w:t>
      </w:r>
      <w:r>
        <w:rPr>
          <w:rFonts w:cs="仿宋_GB2312" w:asciiTheme="majorEastAsia" w:hAnsiTheme="majorEastAsia" w:eastAsiaTheme="majorEastAsia"/>
          <w:kern w:val="0"/>
          <w:sz w:val="44"/>
          <w:szCs w:val="44"/>
        </w:rPr>
        <w:t>山市</w:t>
      </w:r>
      <w:r>
        <w:rPr>
          <w:rFonts w:hint="eastAsia" w:cs="仿宋_GB2312" w:asciiTheme="majorEastAsia" w:hAnsiTheme="majorEastAsia" w:eastAsiaTheme="majorEastAsia"/>
          <w:kern w:val="0"/>
          <w:sz w:val="44"/>
          <w:szCs w:val="44"/>
          <w:lang w:eastAsia="zh-CN"/>
        </w:rPr>
        <w:t>县街</w:t>
      </w:r>
      <w:r>
        <w:rPr>
          <w:rFonts w:cs="仿宋_GB2312" w:asciiTheme="majorEastAsia" w:hAnsiTheme="majorEastAsia" w:eastAsiaTheme="majorEastAsia"/>
          <w:kern w:val="0"/>
          <w:sz w:val="44"/>
          <w:szCs w:val="44"/>
        </w:rPr>
        <w:t>小学</w:t>
      </w:r>
    </w:p>
    <w:p>
      <w:pPr>
        <w:snapToGrid w:val="0"/>
        <w:spacing w:line="600" w:lineRule="exact"/>
        <w:jc w:val="center"/>
        <w:rPr>
          <w:rFonts w:ascii="宋体" w:hAnsi="宋体"/>
          <w:b/>
          <w:szCs w:val="21"/>
        </w:rPr>
      </w:pPr>
      <w:r>
        <w:rPr>
          <w:rFonts w:hint="eastAsia" w:cs="仿宋_GB2312" w:asciiTheme="majorEastAsia" w:hAnsiTheme="majorEastAsia" w:eastAsiaTheme="majorEastAsia"/>
          <w:kern w:val="0"/>
          <w:sz w:val="44"/>
          <w:szCs w:val="44"/>
        </w:rPr>
        <w:t>2021年度部门预算项目支出绩效评价报告</w:t>
      </w:r>
    </w:p>
    <w:p>
      <w:pPr>
        <w:spacing w:line="600" w:lineRule="exact"/>
        <w:jc w:val="center"/>
        <w:rPr>
          <w:rFonts w:ascii="仿宋_GB2312" w:hAnsi="宋体"/>
        </w:rPr>
      </w:pPr>
      <w:r>
        <w:rPr>
          <w:rFonts w:hint="eastAsia" w:ascii="仿宋_GB2312" w:hAnsi="宋体"/>
        </w:rPr>
        <w:t>（</w:t>
      </w:r>
      <w:r>
        <w:rPr>
          <w:rFonts w:hint="eastAsia" w:ascii="仿宋_GB2312" w:hAnsi="宋体"/>
          <w:lang w:val="zh-CN"/>
        </w:rPr>
        <w:t>202</w:t>
      </w:r>
      <w:r>
        <w:rPr>
          <w:rFonts w:ascii="仿宋_GB2312" w:hAnsi="宋体"/>
          <w:lang w:val="zh-CN"/>
        </w:rPr>
        <w:t>1</w:t>
      </w:r>
      <w:r>
        <w:rPr>
          <w:rFonts w:hint="eastAsia" w:ascii="仿宋_GB2312" w:hAnsi="宋体"/>
          <w:lang w:val="zh-CN"/>
        </w:rPr>
        <w:t>年</w:t>
      </w:r>
      <w:r>
        <w:rPr>
          <w:rFonts w:hint="eastAsia" w:ascii="仿宋_GB2312" w:hAnsi="宋体"/>
        </w:rPr>
        <w:t>中小学</w:t>
      </w:r>
      <w:r>
        <w:rPr>
          <w:rFonts w:ascii="仿宋_GB2312" w:hAnsi="宋体"/>
        </w:rPr>
        <w:t>聘</w:t>
      </w:r>
      <w:r>
        <w:rPr>
          <w:rFonts w:hint="eastAsia" w:ascii="仿宋_GB2312" w:hAnsi="宋体"/>
        </w:rPr>
        <w:t>用教师）</w:t>
      </w:r>
    </w:p>
    <w:p>
      <w:pPr>
        <w:adjustRightInd w:val="0"/>
        <w:snapToGrid w:val="0"/>
        <w:spacing w:line="400" w:lineRule="exact"/>
        <w:ind w:firstLine="720"/>
        <w:rPr>
          <w:rFonts w:ascii="仿宋" w:hAnsi="仿宋" w:eastAsia="仿宋"/>
          <w:b/>
          <w:sz w:val="30"/>
          <w:szCs w:val="30"/>
          <w:lang w:val="zh-CN"/>
        </w:rPr>
      </w:pPr>
    </w:p>
    <w:p>
      <w:pPr>
        <w:adjustRightInd w:val="0"/>
        <w:snapToGrid w:val="0"/>
        <w:spacing w:line="400" w:lineRule="exact"/>
        <w:ind w:firstLine="720"/>
        <w:rPr>
          <w:rFonts w:ascii="仿宋" w:hAnsi="仿宋" w:eastAsia="仿宋"/>
          <w:b/>
          <w:sz w:val="30"/>
          <w:szCs w:val="30"/>
          <w:lang w:val="zh-CN"/>
        </w:rPr>
      </w:pPr>
      <w:r>
        <w:rPr>
          <w:rFonts w:hint="eastAsia" w:ascii="仿宋" w:hAnsi="仿宋" w:eastAsia="仿宋"/>
          <w:b/>
          <w:sz w:val="30"/>
          <w:szCs w:val="30"/>
          <w:lang w:val="zh-CN"/>
        </w:rPr>
        <w:t>一、</w:t>
      </w:r>
      <w:r>
        <w:rPr>
          <w:rFonts w:ascii="仿宋" w:hAnsi="仿宋" w:eastAsia="仿宋"/>
          <w:b/>
          <w:sz w:val="30"/>
          <w:szCs w:val="30"/>
          <w:lang w:val="zh-CN"/>
        </w:rPr>
        <w:t>基</w:t>
      </w:r>
      <w:r>
        <w:rPr>
          <w:rFonts w:hint="eastAsia" w:ascii="仿宋" w:hAnsi="仿宋" w:eastAsia="仿宋"/>
          <w:b/>
          <w:sz w:val="30"/>
          <w:szCs w:val="30"/>
          <w:lang w:val="zh-CN"/>
        </w:rPr>
        <w:t>本情况</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项目项目概况：202</w:t>
      </w:r>
      <w:r>
        <w:rPr>
          <w:rFonts w:ascii="仿宋" w:hAnsi="仿宋" w:eastAsia="仿宋"/>
          <w:sz w:val="30"/>
          <w:szCs w:val="30"/>
          <w:lang w:val="zh-CN"/>
        </w:rPr>
        <w:t>1</w:t>
      </w:r>
      <w:r>
        <w:rPr>
          <w:rFonts w:hint="eastAsia" w:ascii="仿宋" w:hAnsi="仿宋" w:eastAsia="仿宋"/>
          <w:sz w:val="30"/>
          <w:szCs w:val="30"/>
          <w:lang w:val="zh-CN"/>
        </w:rPr>
        <w:t>年聘用教师经费</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（一）项目资金申报及批复情况。</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乐山市城北小学现有学生</w:t>
      </w:r>
      <w:r>
        <w:rPr>
          <w:rFonts w:hint="eastAsia" w:ascii="仿宋" w:hAnsi="仿宋" w:eastAsia="仿宋"/>
          <w:sz w:val="30"/>
          <w:szCs w:val="30"/>
          <w:lang w:val="en-US" w:eastAsia="zh-CN"/>
        </w:rPr>
        <w:t>2778</w:t>
      </w:r>
      <w:r>
        <w:rPr>
          <w:rFonts w:hint="eastAsia" w:ascii="仿宋" w:hAnsi="仿宋" w:eastAsia="仿宋"/>
          <w:sz w:val="30"/>
          <w:szCs w:val="30"/>
          <w:lang w:val="zh-CN"/>
        </w:rPr>
        <w:t>人，根据乐中府常（2019）29号批复。按照“乐中预年</w:t>
      </w:r>
      <w:r>
        <w:rPr>
          <w:rFonts w:ascii="仿宋" w:hAnsi="仿宋" w:eastAsia="仿宋"/>
          <w:sz w:val="30"/>
          <w:szCs w:val="30"/>
          <w:lang w:val="zh-CN"/>
        </w:rPr>
        <w:t>初</w:t>
      </w:r>
      <w:r>
        <w:rPr>
          <w:rFonts w:hint="eastAsia" w:ascii="仿宋" w:hAnsi="仿宋" w:eastAsia="仿宋"/>
          <w:sz w:val="30"/>
          <w:szCs w:val="30"/>
          <w:lang w:val="zh-CN"/>
        </w:rPr>
        <w:t>预</w:t>
      </w:r>
      <w:r>
        <w:rPr>
          <w:rFonts w:ascii="仿宋" w:hAnsi="仿宋" w:eastAsia="仿宋"/>
          <w:sz w:val="30"/>
          <w:szCs w:val="30"/>
          <w:lang w:val="zh-CN"/>
        </w:rPr>
        <w:t>算</w:t>
      </w:r>
      <w:r>
        <w:rPr>
          <w:rFonts w:hint="eastAsia" w:ascii="仿宋" w:hAnsi="仿宋" w:eastAsia="仿宋"/>
          <w:sz w:val="30"/>
          <w:szCs w:val="30"/>
          <w:lang w:val="zh-CN"/>
        </w:rPr>
        <w:t>项目支出[202</w:t>
      </w:r>
      <w:r>
        <w:rPr>
          <w:rFonts w:ascii="仿宋" w:hAnsi="仿宋" w:eastAsia="仿宋"/>
          <w:sz w:val="30"/>
          <w:szCs w:val="30"/>
          <w:lang w:val="zh-CN"/>
        </w:rPr>
        <w:t>1</w:t>
      </w:r>
      <w:r>
        <w:rPr>
          <w:rFonts w:hint="eastAsia" w:ascii="仿宋" w:hAnsi="仿宋" w:eastAsia="仿宋"/>
          <w:sz w:val="30"/>
          <w:szCs w:val="30"/>
          <w:lang w:val="zh-CN"/>
        </w:rPr>
        <w:t>]</w:t>
      </w:r>
      <w:r>
        <w:rPr>
          <w:rFonts w:ascii="仿宋" w:hAnsi="仿宋" w:eastAsia="仿宋"/>
          <w:sz w:val="30"/>
          <w:szCs w:val="30"/>
          <w:lang w:val="zh-CN"/>
        </w:rPr>
        <w:t>215</w:t>
      </w:r>
      <w:r>
        <w:rPr>
          <w:rFonts w:hint="eastAsia" w:ascii="仿宋" w:hAnsi="仿宋" w:eastAsia="仿宋"/>
          <w:sz w:val="30"/>
          <w:szCs w:val="30"/>
          <w:lang w:val="zh-CN"/>
        </w:rPr>
        <w:t>号”发文文号、“乐中预年</w:t>
      </w:r>
      <w:r>
        <w:rPr>
          <w:rFonts w:ascii="仿宋" w:hAnsi="仿宋" w:eastAsia="仿宋"/>
          <w:sz w:val="30"/>
          <w:szCs w:val="30"/>
          <w:lang w:val="zh-CN"/>
        </w:rPr>
        <w:t>初</w:t>
      </w:r>
      <w:r>
        <w:rPr>
          <w:rFonts w:hint="eastAsia" w:ascii="仿宋" w:hAnsi="仿宋" w:eastAsia="仿宋"/>
          <w:sz w:val="30"/>
          <w:szCs w:val="30"/>
          <w:lang w:val="zh-CN"/>
        </w:rPr>
        <w:t>预</w:t>
      </w:r>
      <w:r>
        <w:rPr>
          <w:rFonts w:ascii="仿宋" w:hAnsi="仿宋" w:eastAsia="仿宋"/>
          <w:sz w:val="30"/>
          <w:szCs w:val="30"/>
          <w:lang w:val="zh-CN"/>
        </w:rPr>
        <w:t>算</w:t>
      </w:r>
      <w:r>
        <w:rPr>
          <w:rFonts w:hint="eastAsia" w:ascii="仿宋" w:hAnsi="仿宋" w:eastAsia="仿宋"/>
          <w:sz w:val="30"/>
          <w:szCs w:val="30"/>
          <w:lang w:val="zh-CN"/>
        </w:rPr>
        <w:t>项目支出[202</w:t>
      </w:r>
      <w:r>
        <w:rPr>
          <w:rFonts w:ascii="仿宋" w:hAnsi="仿宋" w:eastAsia="仿宋"/>
          <w:sz w:val="30"/>
          <w:szCs w:val="30"/>
          <w:lang w:val="zh-CN"/>
        </w:rPr>
        <w:t>1</w:t>
      </w:r>
      <w:r>
        <w:rPr>
          <w:rFonts w:hint="eastAsia" w:ascii="仿宋" w:hAnsi="仿宋" w:eastAsia="仿宋"/>
          <w:sz w:val="30"/>
          <w:szCs w:val="30"/>
          <w:lang w:val="zh-CN"/>
        </w:rPr>
        <w:t>]</w:t>
      </w:r>
      <w:r>
        <w:rPr>
          <w:rFonts w:ascii="仿宋" w:hAnsi="仿宋" w:eastAsia="仿宋"/>
          <w:sz w:val="30"/>
          <w:szCs w:val="30"/>
          <w:lang w:val="zh-CN"/>
        </w:rPr>
        <w:t>215</w:t>
      </w:r>
      <w:r>
        <w:rPr>
          <w:rFonts w:hint="eastAsia" w:ascii="仿宋" w:hAnsi="仿宋" w:eastAsia="仿宋"/>
          <w:sz w:val="30"/>
          <w:szCs w:val="30"/>
          <w:lang w:val="zh-CN"/>
        </w:rPr>
        <w:t>号”管理文号，我校于202</w:t>
      </w:r>
      <w:r>
        <w:rPr>
          <w:rFonts w:ascii="仿宋" w:hAnsi="仿宋" w:eastAsia="仿宋"/>
          <w:sz w:val="30"/>
          <w:szCs w:val="30"/>
          <w:lang w:val="zh-CN"/>
        </w:rPr>
        <w:t>1</w:t>
      </w:r>
      <w:r>
        <w:rPr>
          <w:rFonts w:hint="eastAsia" w:ascii="仿宋" w:hAnsi="仿宋" w:eastAsia="仿宋"/>
          <w:sz w:val="30"/>
          <w:szCs w:val="30"/>
          <w:lang w:val="zh-CN"/>
        </w:rPr>
        <w:t>年01月13日收到项目为“年初01-中小学</w:t>
      </w:r>
      <w:r>
        <w:rPr>
          <w:rFonts w:ascii="仿宋" w:hAnsi="仿宋" w:eastAsia="仿宋"/>
          <w:sz w:val="30"/>
          <w:szCs w:val="30"/>
          <w:lang w:val="zh-CN"/>
        </w:rPr>
        <w:t>聘用</w:t>
      </w:r>
      <w:r>
        <w:rPr>
          <w:rFonts w:hint="eastAsia" w:ascii="仿宋" w:hAnsi="仿宋" w:eastAsia="仿宋"/>
          <w:sz w:val="30"/>
          <w:szCs w:val="30"/>
          <w:lang w:val="zh-CN"/>
        </w:rPr>
        <w:t>教师”、摘要为“聘用</w:t>
      </w:r>
      <w:r>
        <w:rPr>
          <w:rFonts w:ascii="仿宋" w:hAnsi="仿宋" w:eastAsia="仿宋"/>
          <w:sz w:val="30"/>
          <w:szCs w:val="30"/>
          <w:lang w:val="zh-CN"/>
        </w:rPr>
        <w:t>教师</w:t>
      </w:r>
      <w:r>
        <w:rPr>
          <w:rFonts w:hint="eastAsia" w:ascii="仿宋" w:hAnsi="仿宋" w:eastAsia="仿宋"/>
          <w:sz w:val="30"/>
          <w:szCs w:val="30"/>
          <w:lang w:val="zh-CN"/>
        </w:rPr>
        <w:t>”资金</w:t>
      </w:r>
      <w:r>
        <w:rPr>
          <w:rFonts w:ascii="仿宋" w:hAnsi="仿宋" w:eastAsia="仿宋"/>
          <w:sz w:val="30"/>
          <w:szCs w:val="30"/>
          <w:lang w:val="zh-CN"/>
        </w:rPr>
        <w:t>7</w:t>
      </w:r>
      <w:r>
        <w:rPr>
          <w:rFonts w:hint="eastAsia" w:ascii="仿宋" w:hAnsi="仿宋" w:eastAsia="仿宋"/>
          <w:sz w:val="30"/>
          <w:szCs w:val="30"/>
          <w:lang w:val="en-US" w:eastAsia="zh-CN"/>
        </w:rPr>
        <w:t>26924</w:t>
      </w:r>
      <w:r>
        <w:rPr>
          <w:rFonts w:hint="eastAsia" w:ascii="仿宋" w:hAnsi="仿宋" w:eastAsia="仿宋"/>
          <w:sz w:val="30"/>
          <w:szCs w:val="30"/>
          <w:lang w:val="zh-CN"/>
        </w:rPr>
        <w:t>元，聘请1</w:t>
      </w:r>
      <w:r>
        <w:rPr>
          <w:rFonts w:hint="eastAsia" w:ascii="仿宋" w:hAnsi="仿宋" w:eastAsia="仿宋"/>
          <w:sz w:val="30"/>
          <w:szCs w:val="30"/>
          <w:lang w:val="en-US" w:eastAsia="zh-CN"/>
        </w:rPr>
        <w:t>1</w:t>
      </w:r>
      <w:r>
        <w:rPr>
          <w:rFonts w:hint="eastAsia" w:ascii="仿宋" w:hAnsi="仿宋" w:eastAsia="仿宋"/>
          <w:sz w:val="30"/>
          <w:szCs w:val="30"/>
          <w:lang w:val="zh-CN"/>
        </w:rPr>
        <w:t>名临聘教师从事教育教学工作，保障学校的正常教育教学秩序，提高教育教学质量，促进学生全面发展。</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（二）项目绩效目标。</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202</w:t>
      </w:r>
      <w:r>
        <w:rPr>
          <w:rFonts w:ascii="仿宋" w:hAnsi="仿宋" w:eastAsia="仿宋"/>
          <w:sz w:val="30"/>
          <w:szCs w:val="30"/>
          <w:lang w:val="zh-CN"/>
        </w:rPr>
        <w:t>1</w:t>
      </w:r>
      <w:r>
        <w:rPr>
          <w:rFonts w:hint="eastAsia" w:ascii="仿宋" w:hAnsi="仿宋" w:eastAsia="仿宋"/>
          <w:sz w:val="30"/>
          <w:szCs w:val="30"/>
          <w:lang w:val="zh-CN"/>
        </w:rPr>
        <w:t>年聘用</w:t>
      </w:r>
      <w:r>
        <w:rPr>
          <w:rFonts w:ascii="仿宋" w:hAnsi="仿宋" w:eastAsia="仿宋"/>
          <w:sz w:val="30"/>
          <w:szCs w:val="30"/>
          <w:lang w:val="zh-CN"/>
        </w:rPr>
        <w:t>教师</w:t>
      </w:r>
      <w:r>
        <w:rPr>
          <w:rFonts w:hint="eastAsia" w:ascii="仿宋" w:hAnsi="仿宋" w:eastAsia="仿宋"/>
          <w:sz w:val="30"/>
          <w:szCs w:val="30"/>
          <w:lang w:val="zh-CN"/>
        </w:rPr>
        <w:t>资金主要为支付202</w:t>
      </w:r>
      <w:r>
        <w:rPr>
          <w:rFonts w:ascii="仿宋" w:hAnsi="仿宋" w:eastAsia="仿宋"/>
          <w:sz w:val="30"/>
          <w:szCs w:val="30"/>
          <w:lang w:val="zh-CN"/>
        </w:rPr>
        <w:t>1</w:t>
      </w:r>
      <w:r>
        <w:rPr>
          <w:rFonts w:hint="eastAsia" w:ascii="仿宋" w:hAnsi="仿宋" w:eastAsia="仿宋"/>
          <w:sz w:val="30"/>
          <w:szCs w:val="30"/>
          <w:lang w:val="zh-CN"/>
        </w:rPr>
        <w:t>年聘用</w:t>
      </w:r>
      <w:r>
        <w:rPr>
          <w:rFonts w:ascii="仿宋" w:hAnsi="仿宋" w:eastAsia="仿宋"/>
          <w:sz w:val="30"/>
          <w:szCs w:val="30"/>
          <w:lang w:val="zh-CN"/>
        </w:rPr>
        <w:t>教师</w:t>
      </w:r>
      <w:r>
        <w:rPr>
          <w:rFonts w:hint="eastAsia" w:ascii="仿宋" w:hAnsi="仿宋" w:eastAsia="仿宋"/>
          <w:sz w:val="30"/>
          <w:szCs w:val="30"/>
          <w:lang w:val="zh-CN"/>
        </w:rPr>
        <w:t>经费（含工资及保险），具体为预算小学</w:t>
      </w:r>
      <w:r>
        <w:rPr>
          <w:rFonts w:ascii="仿宋" w:hAnsi="仿宋" w:eastAsia="仿宋"/>
          <w:sz w:val="30"/>
          <w:szCs w:val="30"/>
          <w:lang w:val="zh-CN"/>
        </w:rPr>
        <w:t>聘用教师1</w:t>
      </w:r>
      <w:r>
        <w:rPr>
          <w:rFonts w:hint="eastAsia" w:ascii="仿宋" w:hAnsi="仿宋" w:eastAsia="仿宋"/>
          <w:sz w:val="30"/>
          <w:szCs w:val="30"/>
          <w:lang w:val="en-US" w:eastAsia="zh-CN"/>
        </w:rPr>
        <w:t>1</w:t>
      </w:r>
      <w:r>
        <w:rPr>
          <w:rFonts w:hint="eastAsia" w:ascii="仿宋" w:hAnsi="仿宋" w:eastAsia="仿宋"/>
          <w:sz w:val="30"/>
          <w:szCs w:val="30"/>
          <w:lang w:val="zh-CN"/>
        </w:rPr>
        <w:t>人。人均为</w:t>
      </w:r>
      <w:r>
        <w:rPr>
          <w:rFonts w:ascii="仿宋" w:hAnsi="仿宋" w:eastAsia="仿宋"/>
          <w:sz w:val="30"/>
          <w:szCs w:val="30"/>
          <w:lang w:val="zh-CN"/>
        </w:rPr>
        <w:t>66084</w:t>
      </w:r>
      <w:r>
        <w:rPr>
          <w:rFonts w:hint="eastAsia" w:ascii="仿宋" w:hAnsi="仿宋" w:eastAsia="仿宋"/>
          <w:sz w:val="30"/>
          <w:szCs w:val="30"/>
          <w:lang w:val="zh-CN"/>
        </w:rPr>
        <w:t>元，共计为</w:t>
      </w:r>
      <w:r>
        <w:rPr>
          <w:rFonts w:hint="eastAsia" w:ascii="仿宋" w:hAnsi="仿宋" w:eastAsia="仿宋"/>
          <w:sz w:val="30"/>
          <w:szCs w:val="30"/>
          <w:lang w:val="en-US" w:eastAsia="zh-CN"/>
        </w:rPr>
        <w:t>66084</w:t>
      </w:r>
      <w:r>
        <w:rPr>
          <w:rFonts w:hint="eastAsia" w:ascii="仿宋" w:hAnsi="仿宋" w:eastAsia="仿宋"/>
          <w:sz w:val="30"/>
          <w:szCs w:val="30"/>
          <w:lang w:val="zh-CN"/>
        </w:rPr>
        <w:t>×</w:t>
      </w:r>
      <w:r>
        <w:rPr>
          <w:rFonts w:ascii="仿宋" w:hAnsi="仿宋" w:eastAsia="仿宋"/>
          <w:sz w:val="30"/>
          <w:szCs w:val="30"/>
          <w:lang w:val="zh-CN"/>
        </w:rPr>
        <w:t>11</w:t>
      </w:r>
      <w:r>
        <w:rPr>
          <w:rFonts w:hint="eastAsia" w:ascii="仿宋" w:hAnsi="仿宋" w:eastAsia="仿宋"/>
          <w:sz w:val="30"/>
          <w:szCs w:val="30"/>
          <w:lang w:val="zh-CN"/>
        </w:rPr>
        <w:t>=</w:t>
      </w:r>
      <w:r>
        <w:rPr>
          <w:rFonts w:ascii="仿宋" w:hAnsi="仿宋" w:eastAsia="仿宋"/>
          <w:sz w:val="30"/>
          <w:szCs w:val="30"/>
          <w:lang w:val="zh-CN"/>
        </w:rPr>
        <w:t>726924</w:t>
      </w:r>
      <w:r>
        <w:rPr>
          <w:rFonts w:hint="eastAsia" w:ascii="仿宋" w:hAnsi="仿宋" w:eastAsia="仿宋"/>
          <w:sz w:val="30"/>
          <w:szCs w:val="30"/>
          <w:lang w:val="zh-CN"/>
        </w:rPr>
        <w:t>.00元。</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（三）项目资金申报相符性。</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该项目申报内容与具体实施内容相符、申报目标合理可行，每月按实申报用款额度。</w:t>
      </w:r>
    </w:p>
    <w:p>
      <w:pPr>
        <w:adjustRightInd w:val="0"/>
        <w:snapToGrid w:val="0"/>
        <w:spacing w:line="400" w:lineRule="exact"/>
        <w:ind w:firstLine="720"/>
        <w:rPr>
          <w:rFonts w:ascii="仿宋" w:hAnsi="仿宋" w:eastAsia="仿宋"/>
          <w:b/>
          <w:sz w:val="30"/>
          <w:szCs w:val="30"/>
          <w:lang w:val="zh-CN"/>
        </w:rPr>
      </w:pPr>
      <w:r>
        <w:rPr>
          <w:rFonts w:hint="eastAsia" w:ascii="仿宋" w:hAnsi="仿宋" w:eastAsia="仿宋"/>
          <w:b/>
          <w:sz w:val="30"/>
          <w:szCs w:val="30"/>
          <w:lang w:val="zh-CN"/>
        </w:rPr>
        <w:t>二</w:t>
      </w:r>
      <w:r>
        <w:rPr>
          <w:rFonts w:ascii="仿宋" w:hAnsi="仿宋" w:eastAsia="仿宋"/>
          <w:b/>
          <w:sz w:val="30"/>
          <w:szCs w:val="30"/>
          <w:lang w:val="zh-CN"/>
        </w:rPr>
        <w:t>、</w:t>
      </w:r>
      <w:r>
        <w:rPr>
          <w:rFonts w:hint="eastAsia" w:ascii="仿宋" w:hAnsi="仿宋" w:eastAsia="仿宋"/>
          <w:b/>
          <w:sz w:val="30"/>
          <w:szCs w:val="30"/>
          <w:lang w:val="zh-CN"/>
        </w:rPr>
        <w:t>评价工作开展情况</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（一）绩效评价组织</w:t>
      </w:r>
      <w:r>
        <w:rPr>
          <w:rFonts w:ascii="仿宋" w:hAnsi="仿宋" w:eastAsia="仿宋"/>
          <w:sz w:val="30"/>
          <w:szCs w:val="30"/>
          <w:lang w:val="zh-CN"/>
        </w:rPr>
        <w:t>情况</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为加强财政支出管理，强化支出责任，建立科学、合理的财政支出绩效评价管理体系，提高财政资金使用效益，根据设定的绩效目标，运用科学、合理的绩效评价指标、评价标准和评价方法，对项目支出绩效的经济性、效率性和效益性进行客观公正的评价。</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（二）绩效评价原则、依据，评价指标体系，评价方法</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1.绩效评价原则、依据</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遵循科学规范、公正公开、分级分类、绩效相关原则，采用比较法，定量与定性相结合的办法。</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2.评价指标体系</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评价指标体系设计分一级、二级、三级指标和各三级评价标准、指标说明等。</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3.评价方法</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根据《财政部关于印发〈财政支出绩效评价管理暂行办法〉的通知》（财预〔2011〕285号）文件规定的绩效评价方法，在运用时坚持定量优先、简便有效的原则。</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4.评价标</w:t>
      </w:r>
      <w:r>
        <w:rPr>
          <w:rFonts w:ascii="仿宋" w:hAnsi="仿宋" w:eastAsia="仿宋"/>
          <w:sz w:val="30"/>
          <w:szCs w:val="30"/>
          <w:lang w:val="zh-CN"/>
        </w:rPr>
        <w:t>准</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（1）项目支出绩效评价得分满分为100.00分。</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（2）由单位绩效评价领导小组根据评价情况，对各单项指标分别进行独立打分。</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（3）总评价分为各单项指标得分总和。</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（4）评价结果：根据评价得分(满分100分)，评价结果分为优、良、中、差四等。</w:t>
      </w:r>
    </w:p>
    <w:p>
      <w:pPr>
        <w:widowControl/>
        <w:shd w:val="clear" w:color="auto" w:fill="FFFFFF"/>
        <w:spacing w:before="75" w:after="75" w:line="400" w:lineRule="exact"/>
        <w:ind w:firstLine="602" w:firstLineChars="200"/>
        <w:jc w:val="left"/>
        <w:rPr>
          <w:rFonts w:ascii="仿宋" w:hAnsi="仿宋" w:eastAsia="仿宋"/>
          <w:b/>
          <w:sz w:val="30"/>
          <w:szCs w:val="30"/>
          <w:lang w:val="zh-CN"/>
        </w:rPr>
      </w:pPr>
      <w:r>
        <w:rPr>
          <w:rFonts w:hint="eastAsia" w:ascii="仿宋" w:hAnsi="仿宋" w:eastAsia="仿宋"/>
          <w:b/>
          <w:sz w:val="30"/>
          <w:szCs w:val="30"/>
          <w:lang w:val="zh-CN"/>
        </w:rPr>
        <w:t>三、综合评价情况及评价结论</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（一）绩效评价综合结论</w:t>
      </w:r>
    </w:p>
    <w:p>
      <w:pPr>
        <w:widowControl/>
        <w:spacing w:line="400" w:lineRule="exact"/>
        <w:jc w:val="left"/>
        <w:rPr>
          <w:rFonts w:ascii="仿宋" w:hAnsi="仿宋" w:eastAsia="仿宋"/>
          <w:sz w:val="30"/>
          <w:szCs w:val="30"/>
          <w:lang w:val="zh-CN"/>
        </w:rPr>
      </w:pPr>
      <w:r>
        <w:rPr>
          <w:rFonts w:hint="eastAsia" w:ascii="仿宋" w:hAnsi="仿宋" w:eastAsia="仿宋"/>
          <w:sz w:val="30"/>
          <w:szCs w:val="30"/>
          <w:lang w:val="zh-CN"/>
        </w:rPr>
        <w:t>2021年统计专项项目的自评根据设计的自评指标体系，开展绩效自评。经综合评价，自评平均得分97.</w:t>
      </w:r>
      <w:r>
        <w:rPr>
          <w:rFonts w:ascii="仿宋" w:hAnsi="仿宋" w:eastAsia="仿宋"/>
          <w:sz w:val="30"/>
          <w:szCs w:val="30"/>
          <w:lang w:val="zh-CN"/>
        </w:rPr>
        <w:t>36</w:t>
      </w:r>
      <w:r>
        <w:rPr>
          <w:rFonts w:hint="eastAsia" w:ascii="仿宋" w:hAnsi="仿宋" w:eastAsia="仿宋"/>
          <w:sz w:val="30"/>
          <w:szCs w:val="30"/>
          <w:lang w:val="zh-CN"/>
        </w:rPr>
        <w:t>分，自评等级为优。综合评价结论如下：</w:t>
      </w:r>
    </w:p>
    <w:p>
      <w:pPr>
        <w:widowControl/>
        <w:spacing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1.在产出指标数量指标方面，2021年度具体为预算小学</w:t>
      </w:r>
      <w:r>
        <w:rPr>
          <w:rFonts w:ascii="仿宋" w:hAnsi="仿宋" w:eastAsia="仿宋"/>
          <w:sz w:val="30"/>
          <w:szCs w:val="30"/>
          <w:lang w:val="zh-CN"/>
        </w:rPr>
        <w:t>聘</w:t>
      </w:r>
      <w:r>
        <w:rPr>
          <w:rFonts w:hint="eastAsia" w:ascii="仿宋" w:hAnsi="仿宋" w:eastAsia="仿宋"/>
          <w:sz w:val="30"/>
          <w:szCs w:val="30"/>
          <w:lang w:val="zh-CN"/>
        </w:rPr>
        <w:t>用</w:t>
      </w:r>
      <w:r>
        <w:rPr>
          <w:rFonts w:ascii="仿宋" w:hAnsi="仿宋" w:eastAsia="仿宋"/>
          <w:sz w:val="30"/>
          <w:szCs w:val="30"/>
          <w:lang w:val="zh-CN"/>
        </w:rPr>
        <w:t>教师</w:t>
      </w:r>
      <w:r>
        <w:rPr>
          <w:rFonts w:hint="eastAsia" w:ascii="仿宋" w:hAnsi="仿宋" w:eastAsia="仿宋"/>
          <w:sz w:val="30"/>
          <w:szCs w:val="30"/>
          <w:lang w:val="zh-CN"/>
        </w:rPr>
        <w:t>为11人。</w:t>
      </w:r>
    </w:p>
    <w:p>
      <w:pPr>
        <w:widowControl/>
        <w:spacing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2.在产出指标完成预算执行支出进度方面，截至2021年</w:t>
      </w:r>
      <w:r>
        <w:rPr>
          <w:rFonts w:ascii="仿宋" w:hAnsi="仿宋" w:eastAsia="仿宋"/>
          <w:sz w:val="30"/>
          <w:szCs w:val="30"/>
          <w:lang w:val="zh-CN"/>
        </w:rPr>
        <w:t>12</w:t>
      </w:r>
      <w:r>
        <w:rPr>
          <w:rFonts w:hint="eastAsia" w:ascii="仿宋" w:hAnsi="仿宋" w:eastAsia="仿宋"/>
          <w:sz w:val="30"/>
          <w:szCs w:val="30"/>
          <w:lang w:val="zh-CN"/>
        </w:rPr>
        <w:t>月3</w:t>
      </w:r>
      <w:r>
        <w:rPr>
          <w:rFonts w:ascii="仿宋" w:hAnsi="仿宋" w:eastAsia="仿宋"/>
          <w:sz w:val="30"/>
          <w:szCs w:val="30"/>
          <w:lang w:val="zh-CN"/>
        </w:rPr>
        <w:t>1</w:t>
      </w:r>
      <w:r>
        <w:rPr>
          <w:rFonts w:hint="eastAsia" w:ascii="仿宋" w:hAnsi="仿宋" w:eastAsia="仿宋"/>
          <w:sz w:val="30"/>
          <w:szCs w:val="30"/>
          <w:lang w:val="zh-CN"/>
        </w:rPr>
        <w:t>日项目预算完成率达</w:t>
      </w:r>
      <w:r>
        <w:rPr>
          <w:rFonts w:ascii="仿宋" w:hAnsi="仿宋" w:eastAsia="仿宋"/>
          <w:sz w:val="30"/>
          <w:szCs w:val="30"/>
          <w:lang w:val="zh-CN"/>
        </w:rPr>
        <w:t>到9</w:t>
      </w:r>
      <w:r>
        <w:rPr>
          <w:rFonts w:hint="eastAsia" w:ascii="仿宋" w:hAnsi="仿宋" w:eastAsia="仿宋"/>
          <w:sz w:val="30"/>
          <w:szCs w:val="30"/>
          <w:lang w:val="en-US" w:eastAsia="zh-CN"/>
        </w:rPr>
        <w:t>6.95</w:t>
      </w:r>
      <w:r>
        <w:rPr>
          <w:rFonts w:hint="eastAsia" w:ascii="仿宋" w:hAnsi="仿宋" w:eastAsia="仿宋"/>
          <w:sz w:val="30"/>
          <w:szCs w:val="30"/>
          <w:lang w:val="zh-CN"/>
        </w:rPr>
        <w:t>%。</w:t>
      </w:r>
    </w:p>
    <w:p>
      <w:pPr>
        <w:widowControl/>
        <w:spacing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（二）绩效目标实现情况</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w:t>
      </w:r>
      <w:r>
        <w:rPr>
          <w:rFonts w:ascii="仿宋" w:hAnsi="仿宋" w:eastAsia="仿宋"/>
          <w:sz w:val="30"/>
          <w:szCs w:val="30"/>
          <w:lang w:val="zh-CN"/>
        </w:rPr>
        <w:t>1</w:t>
      </w:r>
      <w:r>
        <w:rPr>
          <w:rFonts w:hint="eastAsia" w:ascii="仿宋" w:hAnsi="仿宋" w:eastAsia="仿宋"/>
          <w:sz w:val="30"/>
          <w:szCs w:val="30"/>
          <w:lang w:val="zh-CN"/>
        </w:rPr>
        <w:t>年聘用</w:t>
      </w:r>
      <w:r>
        <w:rPr>
          <w:rFonts w:ascii="仿宋" w:hAnsi="仿宋" w:eastAsia="仿宋"/>
          <w:sz w:val="30"/>
          <w:szCs w:val="30"/>
          <w:lang w:val="zh-CN"/>
        </w:rPr>
        <w:t>教师</w:t>
      </w:r>
      <w:r>
        <w:rPr>
          <w:rFonts w:hint="eastAsia" w:ascii="仿宋" w:hAnsi="仿宋" w:eastAsia="仿宋"/>
          <w:sz w:val="30"/>
          <w:szCs w:val="30"/>
          <w:lang w:val="zh-CN"/>
        </w:rPr>
        <w:t>资金项目已顺利实施完成。并由区财政局、区教育局进行监督实施。有效保障了我校聘用</w:t>
      </w:r>
      <w:r>
        <w:rPr>
          <w:rFonts w:ascii="仿宋" w:hAnsi="仿宋" w:eastAsia="仿宋"/>
          <w:sz w:val="30"/>
          <w:szCs w:val="30"/>
          <w:lang w:val="zh-CN"/>
        </w:rPr>
        <w:t>教师</w:t>
      </w:r>
      <w:r>
        <w:rPr>
          <w:rFonts w:hint="eastAsia" w:ascii="仿宋" w:hAnsi="仿宋" w:eastAsia="仿宋"/>
          <w:sz w:val="30"/>
          <w:szCs w:val="30"/>
          <w:lang w:val="zh-CN"/>
        </w:rPr>
        <w:t>的基本权益。</w:t>
      </w:r>
    </w:p>
    <w:p>
      <w:pPr>
        <w:spacing w:line="400" w:lineRule="exact"/>
        <w:ind w:firstLine="602" w:firstLineChars="200"/>
        <w:rPr>
          <w:rFonts w:ascii="仿宋" w:hAnsi="仿宋" w:eastAsia="仿宋"/>
          <w:b/>
          <w:sz w:val="30"/>
          <w:szCs w:val="30"/>
          <w:lang w:val="zh-CN"/>
        </w:rPr>
      </w:pPr>
      <w:r>
        <w:rPr>
          <w:rFonts w:hint="eastAsia" w:ascii="仿宋" w:hAnsi="仿宋" w:eastAsia="仿宋"/>
          <w:b/>
          <w:sz w:val="30"/>
          <w:szCs w:val="30"/>
          <w:lang w:val="zh-CN"/>
        </w:rPr>
        <w:t>四、绩效评价指标分析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（一）项目决策情况分析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2021年初，我单位针对2021年聘用</w:t>
      </w:r>
      <w:r>
        <w:rPr>
          <w:rFonts w:ascii="仿宋" w:hAnsi="仿宋" w:eastAsia="仿宋"/>
          <w:sz w:val="30"/>
          <w:szCs w:val="30"/>
          <w:lang w:val="zh-CN"/>
        </w:rPr>
        <w:t>教师</w:t>
      </w:r>
      <w:r>
        <w:rPr>
          <w:rFonts w:hint="eastAsia" w:ascii="仿宋" w:hAnsi="仿宋" w:eastAsia="仿宋"/>
          <w:sz w:val="30"/>
          <w:szCs w:val="30"/>
          <w:lang w:val="zh-CN"/>
        </w:rPr>
        <w:t>编制了预算项目绩效目标，分别从项目的数量目标、质量目标、时效目标、成本目标以及生态效益、社会效益、可持续影响、服务对象满意度等几个方面，结合学校的</w:t>
      </w:r>
      <w:r>
        <w:rPr>
          <w:rFonts w:ascii="仿宋" w:hAnsi="仿宋" w:eastAsia="仿宋"/>
          <w:sz w:val="30"/>
          <w:szCs w:val="30"/>
          <w:lang w:val="zh-CN"/>
        </w:rPr>
        <w:t>具体</w:t>
      </w:r>
      <w:r>
        <w:rPr>
          <w:rFonts w:hint="eastAsia" w:ascii="仿宋" w:hAnsi="仿宋" w:eastAsia="仿宋"/>
          <w:sz w:val="30"/>
          <w:szCs w:val="30"/>
          <w:lang w:val="zh-CN"/>
        </w:rPr>
        <w:t>职能，通过验证项目的可操作性，量化、设计项目的绩效考核指标，明确了2021年聘用</w:t>
      </w:r>
      <w:r>
        <w:rPr>
          <w:rFonts w:ascii="仿宋" w:hAnsi="仿宋" w:eastAsia="仿宋"/>
          <w:sz w:val="30"/>
          <w:szCs w:val="30"/>
          <w:lang w:val="zh-CN"/>
        </w:rPr>
        <w:t>教师</w:t>
      </w:r>
      <w:r>
        <w:rPr>
          <w:rFonts w:hint="eastAsia" w:ascii="仿宋" w:hAnsi="仿宋" w:eastAsia="仿宋"/>
          <w:sz w:val="30"/>
          <w:szCs w:val="30"/>
          <w:lang w:val="zh-CN"/>
        </w:rPr>
        <w:t>专项经费项目目标。</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（二）项目管理情况分</w:t>
      </w:r>
      <w:r>
        <w:rPr>
          <w:rFonts w:ascii="仿宋" w:hAnsi="仿宋" w:eastAsia="仿宋"/>
          <w:sz w:val="30"/>
          <w:szCs w:val="30"/>
          <w:lang w:val="zh-CN"/>
        </w:rPr>
        <w:t>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w:t>
      </w:r>
      <w:r>
        <w:rPr>
          <w:rFonts w:ascii="仿宋" w:hAnsi="仿宋" w:eastAsia="仿宋"/>
          <w:sz w:val="30"/>
          <w:szCs w:val="30"/>
          <w:lang w:val="zh-CN"/>
        </w:rPr>
        <w:t>1</w:t>
      </w:r>
      <w:r>
        <w:rPr>
          <w:rFonts w:hint="eastAsia" w:ascii="仿宋" w:hAnsi="仿宋" w:eastAsia="仿宋"/>
          <w:sz w:val="30"/>
          <w:szCs w:val="30"/>
          <w:lang w:val="zh-CN"/>
        </w:rPr>
        <w:t>年聘用</w:t>
      </w:r>
      <w:r>
        <w:rPr>
          <w:rFonts w:ascii="仿宋" w:hAnsi="仿宋" w:eastAsia="仿宋"/>
          <w:sz w:val="30"/>
          <w:szCs w:val="30"/>
          <w:lang w:val="zh-CN"/>
        </w:rPr>
        <w:t>教师</w:t>
      </w:r>
      <w:r>
        <w:rPr>
          <w:rFonts w:hint="eastAsia" w:ascii="仿宋" w:hAnsi="仿宋" w:eastAsia="仿宋"/>
          <w:sz w:val="30"/>
          <w:szCs w:val="30"/>
          <w:lang w:val="zh-CN"/>
        </w:rPr>
        <w:t>资金系专项资金，设置了专账进行财务核算，资金使用符合财务制度规定，项目实施专项经费均已按照相关规定专款专用，财务处理及时，会计核算规范</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（三）项目产出情况分析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2021年聘用</w:t>
      </w:r>
      <w:r>
        <w:rPr>
          <w:rFonts w:ascii="仿宋" w:hAnsi="仿宋" w:eastAsia="仿宋"/>
          <w:sz w:val="30"/>
          <w:szCs w:val="30"/>
          <w:lang w:val="zh-CN"/>
        </w:rPr>
        <w:t>教师</w:t>
      </w:r>
      <w:r>
        <w:rPr>
          <w:rFonts w:hint="eastAsia" w:ascii="仿宋" w:hAnsi="仿宋" w:eastAsia="仿宋"/>
          <w:sz w:val="30"/>
          <w:szCs w:val="30"/>
          <w:lang w:val="zh-CN"/>
        </w:rPr>
        <w:t>专项项目的年度绩效目标全部完成。具体如下：</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我校在实际的支付中支付了</w:t>
      </w:r>
      <w:r>
        <w:rPr>
          <w:rFonts w:ascii="仿宋" w:hAnsi="仿宋" w:eastAsia="仿宋"/>
          <w:sz w:val="30"/>
          <w:szCs w:val="30"/>
          <w:lang w:val="zh-CN"/>
        </w:rPr>
        <w:t>11</w:t>
      </w:r>
      <w:r>
        <w:rPr>
          <w:rFonts w:hint="eastAsia" w:ascii="仿宋" w:hAnsi="仿宋" w:eastAsia="仿宋"/>
          <w:sz w:val="30"/>
          <w:szCs w:val="30"/>
          <w:lang w:val="zh-CN"/>
        </w:rPr>
        <w:t>名聘用</w:t>
      </w:r>
      <w:r>
        <w:rPr>
          <w:rFonts w:ascii="仿宋" w:hAnsi="仿宋" w:eastAsia="仿宋"/>
          <w:sz w:val="30"/>
          <w:szCs w:val="30"/>
          <w:lang w:val="zh-CN"/>
        </w:rPr>
        <w:t>教师</w:t>
      </w:r>
      <w:r>
        <w:rPr>
          <w:rFonts w:hint="eastAsia" w:ascii="仿宋" w:hAnsi="仿宋" w:eastAsia="仿宋"/>
          <w:sz w:val="30"/>
          <w:szCs w:val="30"/>
          <w:lang w:val="zh-CN"/>
        </w:rPr>
        <w:t>经费，每月由乐山市新锐人力资源管理有限公司核算资金，交区教育局和市中区财政审核申请资金，由学校申请用款计划，经财政审批后由我校直接转入乐山市新锐人力资源管理有限公司，再由乐山市新锐人力资源管理有限公司支付给我校聘用</w:t>
      </w:r>
      <w:r>
        <w:rPr>
          <w:rFonts w:ascii="仿宋" w:hAnsi="仿宋" w:eastAsia="仿宋"/>
          <w:sz w:val="30"/>
          <w:szCs w:val="30"/>
          <w:lang w:val="zh-CN"/>
        </w:rPr>
        <w:t>教师</w:t>
      </w:r>
      <w:r>
        <w:rPr>
          <w:rFonts w:hint="eastAsia" w:ascii="仿宋" w:hAnsi="仿宋" w:eastAsia="仿宋"/>
          <w:sz w:val="30"/>
          <w:szCs w:val="30"/>
          <w:lang w:val="zh-CN"/>
        </w:rPr>
        <w:t>。202</w:t>
      </w:r>
      <w:r>
        <w:rPr>
          <w:rFonts w:ascii="仿宋" w:hAnsi="仿宋" w:eastAsia="仿宋"/>
          <w:sz w:val="30"/>
          <w:szCs w:val="30"/>
          <w:lang w:val="zh-CN"/>
        </w:rPr>
        <w:t>1</w:t>
      </w:r>
      <w:r>
        <w:rPr>
          <w:rFonts w:hint="eastAsia" w:ascii="仿宋" w:hAnsi="仿宋" w:eastAsia="仿宋"/>
          <w:sz w:val="30"/>
          <w:szCs w:val="30"/>
          <w:lang w:val="zh-CN"/>
        </w:rPr>
        <w:t>年预</w:t>
      </w:r>
      <w:r>
        <w:rPr>
          <w:rFonts w:ascii="仿宋" w:hAnsi="仿宋" w:eastAsia="仿宋"/>
          <w:sz w:val="30"/>
          <w:szCs w:val="30"/>
          <w:lang w:val="zh-CN"/>
        </w:rPr>
        <w:t>算拨付</w:t>
      </w:r>
      <w:r>
        <w:rPr>
          <w:rFonts w:hint="eastAsia" w:ascii="仿宋" w:hAnsi="仿宋" w:eastAsia="仿宋"/>
          <w:sz w:val="30"/>
          <w:szCs w:val="30"/>
          <w:lang w:val="zh-CN"/>
        </w:rPr>
        <w:t>聘用</w:t>
      </w:r>
      <w:r>
        <w:rPr>
          <w:rFonts w:ascii="仿宋" w:hAnsi="仿宋" w:eastAsia="仿宋"/>
          <w:sz w:val="30"/>
          <w:szCs w:val="30"/>
          <w:lang w:val="zh-CN"/>
        </w:rPr>
        <w:t>教师资金726924</w:t>
      </w:r>
      <w:r>
        <w:rPr>
          <w:rFonts w:hint="eastAsia" w:ascii="仿宋" w:hAnsi="仿宋" w:eastAsia="仿宋"/>
          <w:sz w:val="30"/>
          <w:szCs w:val="30"/>
          <w:lang w:val="zh-CN"/>
        </w:rPr>
        <w:t>元</w:t>
      </w:r>
      <w:r>
        <w:rPr>
          <w:rFonts w:ascii="仿宋" w:hAnsi="仿宋" w:eastAsia="仿宋"/>
          <w:sz w:val="30"/>
          <w:szCs w:val="30"/>
          <w:lang w:val="zh-CN"/>
        </w:rPr>
        <w:t>，于</w:t>
      </w:r>
      <w:r>
        <w:rPr>
          <w:rFonts w:hint="eastAsia" w:ascii="仿宋" w:hAnsi="仿宋" w:eastAsia="仿宋"/>
          <w:sz w:val="30"/>
          <w:szCs w:val="30"/>
          <w:lang w:val="zh-CN"/>
        </w:rPr>
        <w:t>2021年12月31日</w:t>
      </w:r>
      <w:r>
        <w:rPr>
          <w:rFonts w:ascii="仿宋" w:hAnsi="仿宋" w:eastAsia="仿宋"/>
          <w:sz w:val="30"/>
          <w:szCs w:val="30"/>
          <w:lang w:val="zh-CN"/>
        </w:rPr>
        <w:t>止共使用</w:t>
      </w:r>
      <w:r>
        <w:rPr>
          <w:rFonts w:hint="eastAsia" w:ascii="仿宋" w:hAnsi="仿宋" w:eastAsia="仿宋"/>
          <w:sz w:val="30"/>
          <w:szCs w:val="30"/>
          <w:lang w:val="zh-CN"/>
        </w:rPr>
        <w:t>聘用</w:t>
      </w:r>
      <w:r>
        <w:rPr>
          <w:rFonts w:ascii="仿宋" w:hAnsi="仿宋" w:eastAsia="仿宋"/>
          <w:sz w:val="30"/>
          <w:szCs w:val="30"/>
          <w:lang w:val="zh-CN"/>
        </w:rPr>
        <w:t>教师资金</w:t>
      </w:r>
      <w:r>
        <w:rPr>
          <w:rFonts w:hint="eastAsia" w:ascii="仿宋" w:hAnsi="仿宋" w:eastAsia="仿宋"/>
          <w:sz w:val="30"/>
          <w:szCs w:val="30"/>
          <w:lang w:val="en-US" w:eastAsia="zh-CN"/>
        </w:rPr>
        <w:t>704745.56</w:t>
      </w:r>
      <w:r>
        <w:rPr>
          <w:rFonts w:hint="eastAsia" w:ascii="仿宋" w:hAnsi="仿宋" w:eastAsia="仿宋"/>
          <w:sz w:val="30"/>
          <w:szCs w:val="30"/>
          <w:lang w:val="zh-CN"/>
        </w:rPr>
        <w:t>元，</w:t>
      </w:r>
      <w:r>
        <w:rPr>
          <w:rFonts w:ascii="仿宋" w:hAnsi="仿宋" w:eastAsia="仿宋"/>
          <w:sz w:val="30"/>
          <w:szCs w:val="30"/>
          <w:lang w:val="zh-CN"/>
        </w:rPr>
        <w:t>预算执行率达到9</w:t>
      </w:r>
      <w:r>
        <w:rPr>
          <w:rFonts w:hint="eastAsia" w:ascii="仿宋" w:hAnsi="仿宋" w:eastAsia="仿宋"/>
          <w:sz w:val="30"/>
          <w:szCs w:val="30"/>
          <w:lang w:val="en-US" w:eastAsia="zh-CN"/>
        </w:rPr>
        <w:t>6.95</w:t>
      </w:r>
      <w:r>
        <w:rPr>
          <w:rFonts w:hint="eastAsia" w:ascii="仿宋" w:hAnsi="仿宋" w:eastAsia="仿宋"/>
          <w:sz w:val="30"/>
          <w:szCs w:val="30"/>
          <w:lang w:val="zh-CN"/>
        </w:rPr>
        <w:t>%。</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（四）项目效益情况分析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w:t>
      </w:r>
      <w:r>
        <w:rPr>
          <w:rFonts w:ascii="仿宋" w:hAnsi="仿宋" w:eastAsia="仿宋"/>
          <w:sz w:val="30"/>
          <w:szCs w:val="30"/>
          <w:lang w:val="zh-CN"/>
        </w:rPr>
        <w:t>1</w:t>
      </w:r>
      <w:r>
        <w:rPr>
          <w:rFonts w:hint="eastAsia" w:ascii="仿宋" w:hAnsi="仿宋" w:eastAsia="仿宋"/>
          <w:sz w:val="30"/>
          <w:szCs w:val="30"/>
          <w:lang w:val="zh-CN"/>
        </w:rPr>
        <w:t>年聘用</w:t>
      </w:r>
      <w:r>
        <w:rPr>
          <w:rFonts w:ascii="仿宋" w:hAnsi="仿宋" w:eastAsia="仿宋"/>
          <w:sz w:val="30"/>
          <w:szCs w:val="30"/>
          <w:lang w:val="zh-CN"/>
        </w:rPr>
        <w:t>教师</w:t>
      </w:r>
      <w:r>
        <w:rPr>
          <w:rFonts w:hint="eastAsia" w:ascii="仿宋" w:hAnsi="仿宋" w:eastAsia="仿宋"/>
          <w:sz w:val="30"/>
          <w:szCs w:val="30"/>
          <w:lang w:val="zh-CN"/>
        </w:rPr>
        <w:t>资金切实解决了我校聘用</w:t>
      </w:r>
      <w:r>
        <w:rPr>
          <w:rFonts w:ascii="仿宋" w:hAnsi="仿宋" w:eastAsia="仿宋"/>
          <w:sz w:val="30"/>
          <w:szCs w:val="30"/>
          <w:lang w:val="zh-CN"/>
        </w:rPr>
        <w:t>教师</w:t>
      </w:r>
      <w:r>
        <w:rPr>
          <w:rFonts w:hint="eastAsia" w:ascii="仿宋" w:hAnsi="仿宋" w:eastAsia="仿宋"/>
          <w:sz w:val="30"/>
          <w:szCs w:val="30"/>
          <w:lang w:val="zh-CN"/>
        </w:rPr>
        <w:t>的实际问题，满意度测评效果良好。</w:t>
      </w:r>
    </w:p>
    <w:p>
      <w:pPr>
        <w:snapToGrid w:val="0"/>
        <w:spacing w:line="400" w:lineRule="exact"/>
        <w:ind w:firstLine="602" w:firstLineChars="200"/>
        <w:rPr>
          <w:rFonts w:ascii="仿宋" w:hAnsi="仿宋" w:eastAsia="仿宋"/>
          <w:b/>
          <w:sz w:val="30"/>
          <w:szCs w:val="30"/>
          <w:lang w:val="zh-CN"/>
        </w:rPr>
      </w:pPr>
      <w:r>
        <w:rPr>
          <w:rFonts w:hint="eastAsia" w:ascii="仿宋" w:hAnsi="仿宋" w:eastAsia="仿宋"/>
          <w:b/>
          <w:sz w:val="30"/>
          <w:szCs w:val="30"/>
          <w:lang w:val="zh-CN"/>
        </w:rPr>
        <w:t>五、存在主要问题</w:t>
      </w:r>
    </w:p>
    <w:p>
      <w:pPr>
        <w:snapToGrid w:val="0"/>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1、资金预算数和决算数不相等，预算执行率等于1。</w:t>
      </w:r>
    </w:p>
    <w:p>
      <w:pPr>
        <w:snapToGrid w:val="0"/>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2、受益人员满意度未达到100%。</w:t>
      </w:r>
    </w:p>
    <w:p>
      <w:pPr>
        <w:snapToGrid w:val="0"/>
        <w:spacing w:line="400" w:lineRule="exact"/>
        <w:ind w:firstLine="602" w:firstLineChars="200"/>
        <w:rPr>
          <w:rFonts w:ascii="仿宋" w:hAnsi="仿宋" w:eastAsia="仿宋"/>
          <w:b/>
          <w:sz w:val="30"/>
          <w:szCs w:val="30"/>
          <w:lang w:val="zh-CN"/>
        </w:rPr>
      </w:pPr>
      <w:r>
        <w:rPr>
          <w:rFonts w:hint="eastAsia" w:ascii="仿宋" w:hAnsi="仿宋" w:eastAsia="仿宋"/>
          <w:b/>
          <w:sz w:val="30"/>
          <w:szCs w:val="30"/>
          <w:lang w:val="zh-CN"/>
        </w:rPr>
        <w:t>六、相关措施建议</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(一)相关措</w:t>
      </w:r>
      <w:r>
        <w:rPr>
          <w:rFonts w:ascii="仿宋" w:hAnsi="仿宋" w:eastAsia="仿宋"/>
          <w:sz w:val="30"/>
          <w:szCs w:val="30"/>
          <w:lang w:val="zh-CN"/>
        </w:rPr>
        <w:t>施</w:t>
      </w:r>
      <w:r>
        <w:rPr>
          <w:rFonts w:hint="eastAsia" w:ascii="仿宋" w:hAnsi="仿宋" w:eastAsia="仿宋"/>
          <w:sz w:val="30"/>
          <w:szCs w:val="30"/>
          <w:lang w:val="zh-CN"/>
        </w:rPr>
        <w:t>。</w:t>
      </w:r>
    </w:p>
    <w:p>
      <w:pPr>
        <w:snapToGrid w:val="0"/>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1、认真做财政资金预算，力争使用预算执行率等1。</w:t>
      </w:r>
    </w:p>
    <w:p>
      <w:pPr>
        <w:snapToGrid w:val="0"/>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2、努力做好学校的各项工作，力争让受益人员满意度未达到100%。</w:t>
      </w:r>
    </w:p>
    <w:p>
      <w:pPr>
        <w:pStyle w:val="2"/>
        <w:spacing w:before="93"/>
        <w:rPr>
          <w:lang w:val="zh-CN"/>
        </w:rPr>
      </w:pPr>
    </w:p>
    <w:p>
      <w:pPr>
        <w:pStyle w:val="2"/>
        <w:spacing w:before="93"/>
        <w:rPr>
          <w:lang w:val="zh-CN"/>
        </w:rPr>
      </w:pPr>
    </w:p>
    <w:p>
      <w:pPr>
        <w:pStyle w:val="2"/>
        <w:spacing w:before="93"/>
        <w:rPr>
          <w:lang w:val="zh-CN"/>
        </w:rPr>
      </w:pPr>
    </w:p>
    <w:p>
      <w:pPr>
        <w:pStyle w:val="2"/>
        <w:spacing w:before="93"/>
        <w:rPr>
          <w:lang w:val="zh-CN"/>
        </w:rPr>
      </w:pPr>
    </w:p>
    <w:p>
      <w:pPr>
        <w:pStyle w:val="2"/>
        <w:spacing w:before="93"/>
        <w:rPr>
          <w:lang w:val="zh-CN"/>
        </w:rPr>
      </w:pPr>
      <w:r>
        <w:rPr>
          <w:rFonts w:hint="eastAsia"/>
          <w:lang w:val="zh-CN"/>
        </w:rPr>
        <w:t>附件5</w:t>
      </w:r>
    </w:p>
    <w:tbl>
      <w:tblPr>
        <w:tblStyle w:val="13"/>
        <w:tblpPr w:leftFromText="180" w:rightFromText="180" w:vertAnchor="text" w:horzAnchor="page" w:tblpX="1281" w:tblpY="660"/>
        <w:tblOverlap w:val="never"/>
        <w:tblW w:w="9542" w:type="dxa"/>
        <w:tblInd w:w="0" w:type="dxa"/>
        <w:tblLayout w:type="fixed"/>
        <w:tblCellMar>
          <w:top w:w="0" w:type="dxa"/>
          <w:left w:w="108" w:type="dxa"/>
          <w:bottom w:w="0" w:type="dxa"/>
          <w:right w:w="108" w:type="dxa"/>
        </w:tblCellMar>
      </w:tblPr>
      <w:tblGrid>
        <w:gridCol w:w="1967"/>
        <w:gridCol w:w="1139"/>
        <w:gridCol w:w="1629"/>
        <w:gridCol w:w="1185"/>
        <w:gridCol w:w="1220"/>
        <w:gridCol w:w="2402"/>
      </w:tblGrid>
      <w:tr>
        <w:tblPrEx>
          <w:tblCellMar>
            <w:top w:w="0" w:type="dxa"/>
            <w:left w:w="108" w:type="dxa"/>
            <w:bottom w:w="0" w:type="dxa"/>
            <w:right w:w="108" w:type="dxa"/>
          </w:tblCellMar>
        </w:tblPrEx>
        <w:trPr>
          <w:trHeight w:val="884" w:hRule="atLeast"/>
        </w:trPr>
        <w:tc>
          <w:tcPr>
            <w:tcW w:w="9541" w:type="dxa"/>
            <w:gridSpan w:val="6"/>
            <w:tcBorders>
              <w:top w:val="nil"/>
              <w:left w:val="nil"/>
              <w:bottom w:val="nil"/>
              <w:right w:val="nil"/>
            </w:tcBorders>
            <w:shd w:val="clear" w:color="auto" w:fill="auto"/>
            <w:vAlign w:val="center"/>
          </w:tcPr>
          <w:p>
            <w:pPr>
              <w:widowControl/>
              <w:jc w:val="center"/>
              <w:textAlignment w:val="center"/>
              <w:rPr>
                <w:rFonts w:ascii="宋体" w:hAnsi="宋体" w:cs="宋体"/>
                <w:b/>
                <w:sz w:val="32"/>
                <w:szCs w:val="32"/>
              </w:rPr>
            </w:pPr>
            <w:r>
              <w:rPr>
                <w:rFonts w:hint="eastAsia" w:ascii="宋体" w:hAnsi="宋体" w:cs="宋体"/>
                <w:b/>
                <w:sz w:val="32"/>
                <w:szCs w:val="32"/>
              </w:rPr>
              <w:t>2021年特定目标类部门预算项目绩效目标自评</w:t>
            </w:r>
          </w:p>
        </w:tc>
      </w:tr>
      <w:tr>
        <w:tblPrEx>
          <w:tblCellMar>
            <w:top w:w="0" w:type="dxa"/>
            <w:left w:w="108" w:type="dxa"/>
            <w:bottom w:w="0" w:type="dxa"/>
            <w:right w:w="108" w:type="dxa"/>
          </w:tblCellMar>
        </w:tblPrEx>
        <w:trPr>
          <w:trHeight w:val="332" w:hRule="atLeast"/>
        </w:trPr>
        <w:tc>
          <w:tcPr>
            <w:tcW w:w="3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主管部门及代码</w:t>
            </w:r>
          </w:p>
        </w:tc>
        <w:tc>
          <w:tcPr>
            <w:tcW w:w="2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ascii="宋体" w:hAnsi="宋体" w:cs="宋体"/>
                <w:sz w:val="18"/>
                <w:szCs w:val="18"/>
              </w:rPr>
            </w:pPr>
            <w:r>
              <w:rPr>
                <w:rFonts w:hint="eastAsia" w:ascii="宋体" w:hAnsi="宋体" w:cs="宋体"/>
                <w:sz w:val="18"/>
                <w:szCs w:val="18"/>
              </w:rPr>
              <w:t>乐山市市中区教育局115110020085542008</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实施单位</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sz w:val="18"/>
                <w:szCs w:val="18"/>
              </w:rPr>
              <w:t>乐山市</w:t>
            </w:r>
            <w:r>
              <w:rPr>
                <w:rFonts w:hint="eastAsia" w:ascii="宋体" w:hAnsi="宋体" w:cs="宋体"/>
                <w:sz w:val="18"/>
                <w:szCs w:val="18"/>
                <w:lang w:eastAsia="zh-CN"/>
              </w:rPr>
              <w:t>县街</w:t>
            </w:r>
            <w:r>
              <w:rPr>
                <w:rFonts w:hint="eastAsia" w:ascii="宋体" w:hAnsi="宋体" w:cs="宋体"/>
                <w:sz w:val="18"/>
                <w:szCs w:val="18"/>
              </w:rPr>
              <w:t>小学</w:t>
            </w:r>
          </w:p>
        </w:tc>
      </w:tr>
      <w:tr>
        <w:tblPrEx>
          <w:tblCellMar>
            <w:top w:w="0" w:type="dxa"/>
            <w:left w:w="108" w:type="dxa"/>
            <w:bottom w:w="0" w:type="dxa"/>
            <w:right w:w="108" w:type="dxa"/>
          </w:tblCellMar>
        </w:tblPrEx>
        <w:trPr>
          <w:trHeight w:val="492" w:hRule="atLeast"/>
        </w:trPr>
        <w:tc>
          <w:tcPr>
            <w:tcW w:w="31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default" w:ascii="宋体" w:hAnsi="宋体" w:cs="宋体"/>
                <w:kern w:val="0"/>
                <w:sz w:val="18"/>
                <w:szCs w:val="18"/>
              </w:rPr>
            </w:pPr>
            <w:r>
              <w:rPr>
                <w:rFonts w:hint="eastAsia" w:ascii="宋体" w:hAnsi="宋体" w:cs="宋体"/>
                <w:kern w:val="0"/>
                <w:sz w:val="18"/>
                <w:szCs w:val="18"/>
              </w:rPr>
              <w:t>项目预算</w:t>
            </w:r>
          </w:p>
          <w:p>
            <w:pPr>
              <w:widowControl/>
              <w:spacing w:line="320" w:lineRule="exact"/>
              <w:jc w:val="center"/>
              <w:textAlignment w:val="center"/>
              <w:rPr>
                <w:rFonts w:hint="default" w:ascii="宋体" w:hAnsi="宋体" w:cs="宋体"/>
                <w:kern w:val="0"/>
                <w:sz w:val="18"/>
                <w:szCs w:val="18"/>
              </w:rPr>
            </w:pPr>
            <w:r>
              <w:rPr>
                <w:rFonts w:hint="eastAsia" w:ascii="宋体" w:hAnsi="宋体" w:cs="宋体"/>
                <w:kern w:val="0"/>
                <w:sz w:val="18"/>
                <w:szCs w:val="18"/>
              </w:rPr>
              <w:t>执行情况</w:t>
            </w:r>
          </w:p>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（万元）</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 xml:space="preserve"> 预算数：</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sz w:val="18"/>
                <w:szCs w:val="18"/>
              </w:rPr>
              <w:t>72.69</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 xml:space="preserve"> 执行数：</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right"/>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70.47</w:t>
            </w:r>
          </w:p>
        </w:tc>
      </w:tr>
      <w:tr>
        <w:tblPrEx>
          <w:tblCellMar>
            <w:top w:w="0" w:type="dxa"/>
            <w:left w:w="108" w:type="dxa"/>
            <w:bottom w:w="0" w:type="dxa"/>
            <w:right w:w="108" w:type="dxa"/>
          </w:tblCellMar>
        </w:tblPrEx>
        <w:trPr>
          <w:trHeight w:val="726" w:hRule="atLeast"/>
        </w:trPr>
        <w:tc>
          <w:tcPr>
            <w:tcW w:w="31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szCs w:val="18"/>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kern w:val="0"/>
                <w:sz w:val="18"/>
                <w:szCs w:val="18"/>
              </w:rPr>
            </w:pPr>
            <w:r>
              <w:rPr>
                <w:rFonts w:hint="eastAsia" w:ascii="宋体" w:hAnsi="宋体" w:cs="宋体"/>
                <w:kern w:val="0"/>
                <w:sz w:val="18"/>
                <w:szCs w:val="18"/>
              </w:rPr>
              <w:t>其中：</w:t>
            </w:r>
          </w:p>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财政拨款</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sz w:val="18"/>
                <w:szCs w:val="18"/>
              </w:rPr>
              <w:t>72.69</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kern w:val="0"/>
                <w:sz w:val="18"/>
                <w:szCs w:val="18"/>
              </w:rPr>
            </w:pPr>
            <w:r>
              <w:rPr>
                <w:rFonts w:hint="eastAsia" w:ascii="宋体" w:hAnsi="宋体" w:cs="宋体"/>
                <w:kern w:val="0"/>
                <w:sz w:val="18"/>
                <w:szCs w:val="18"/>
              </w:rPr>
              <w:t>其中：</w:t>
            </w:r>
          </w:p>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财政拨款</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right"/>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70.47</w:t>
            </w:r>
          </w:p>
        </w:tc>
      </w:tr>
      <w:tr>
        <w:tblPrEx>
          <w:tblCellMar>
            <w:top w:w="0" w:type="dxa"/>
            <w:left w:w="108" w:type="dxa"/>
            <w:bottom w:w="0" w:type="dxa"/>
            <w:right w:w="108" w:type="dxa"/>
          </w:tblCellMar>
        </w:tblPrEx>
        <w:trPr>
          <w:trHeight w:val="447" w:hRule="atLeast"/>
        </w:trPr>
        <w:tc>
          <w:tcPr>
            <w:tcW w:w="31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szCs w:val="18"/>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其他资金</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其他资金</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p>
        </w:tc>
      </w:tr>
      <w:tr>
        <w:tblPrEx>
          <w:tblCellMar>
            <w:top w:w="0" w:type="dxa"/>
            <w:left w:w="108" w:type="dxa"/>
            <w:bottom w:w="0" w:type="dxa"/>
            <w:right w:w="108" w:type="dxa"/>
          </w:tblCellMar>
        </w:tblPrEx>
        <w:trPr>
          <w:trHeight w:val="284" w:hRule="atLeast"/>
        </w:trPr>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kern w:val="0"/>
                <w:sz w:val="18"/>
                <w:szCs w:val="18"/>
              </w:rPr>
            </w:pPr>
            <w:r>
              <w:rPr>
                <w:rFonts w:hint="eastAsia" w:ascii="宋体" w:hAnsi="宋体" w:cs="宋体"/>
                <w:kern w:val="0"/>
                <w:sz w:val="18"/>
                <w:szCs w:val="18"/>
              </w:rPr>
              <w:t>年度总体目标</w:t>
            </w:r>
          </w:p>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完成情况</w:t>
            </w:r>
          </w:p>
        </w:tc>
        <w:tc>
          <w:tcPr>
            <w:tcW w:w="39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预期目标</w:t>
            </w:r>
          </w:p>
        </w:tc>
        <w:tc>
          <w:tcPr>
            <w:tcW w:w="36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目标实际完成情况</w:t>
            </w:r>
          </w:p>
        </w:tc>
      </w:tr>
      <w:tr>
        <w:tblPrEx>
          <w:tblCellMar>
            <w:top w:w="0" w:type="dxa"/>
            <w:left w:w="108" w:type="dxa"/>
            <w:bottom w:w="0" w:type="dxa"/>
            <w:right w:w="108" w:type="dxa"/>
          </w:tblCellMar>
        </w:tblPrEx>
        <w:trPr>
          <w:trHeight w:val="1044" w:hRule="atLeast"/>
        </w:trPr>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szCs w:val="18"/>
              </w:rPr>
            </w:pPr>
          </w:p>
        </w:tc>
        <w:tc>
          <w:tcPr>
            <w:tcW w:w="3952" w:type="dxa"/>
            <w:gridSpan w:val="3"/>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ascii="宋体" w:hAnsi="宋体" w:cs="宋体"/>
                <w:sz w:val="18"/>
                <w:szCs w:val="18"/>
              </w:rPr>
            </w:pPr>
            <w:r>
              <w:rPr>
                <w:rFonts w:hint="eastAsia" w:ascii="宋体" w:hAnsi="宋体" w:cs="宋体"/>
                <w:sz w:val="18"/>
                <w:szCs w:val="18"/>
              </w:rPr>
              <w:t>为缓解在编在职教师严重不足，聘请11名临聘教师从事教育教学工作，保障学校的正常教育教学秩序，提高教育教学质量，促进学生全面发展。</w:t>
            </w:r>
          </w:p>
        </w:tc>
        <w:tc>
          <w:tcPr>
            <w:tcW w:w="3621" w:type="dxa"/>
            <w:gridSpan w:val="2"/>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ascii="宋体" w:hAnsi="宋体" w:cs="宋体"/>
                <w:sz w:val="18"/>
                <w:szCs w:val="18"/>
              </w:rPr>
            </w:pPr>
            <w:r>
              <w:rPr>
                <w:rFonts w:hint="eastAsia" w:ascii="宋体" w:hAnsi="宋体" w:cs="宋体"/>
                <w:sz w:val="18"/>
                <w:szCs w:val="18"/>
              </w:rPr>
              <w:t>全部完成</w:t>
            </w:r>
          </w:p>
        </w:tc>
      </w:tr>
      <w:tr>
        <w:tblPrEx>
          <w:tblCellMar>
            <w:top w:w="0" w:type="dxa"/>
            <w:left w:w="108" w:type="dxa"/>
            <w:bottom w:w="0" w:type="dxa"/>
            <w:right w:w="108" w:type="dxa"/>
          </w:tblCellMar>
        </w:tblPrEx>
        <w:trPr>
          <w:trHeight w:val="907" w:hRule="atLeast"/>
        </w:trPr>
        <w:tc>
          <w:tcPr>
            <w:tcW w:w="1967" w:type="dxa"/>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年度绩效指标完成情况</w:t>
            </w:r>
          </w:p>
        </w:tc>
        <w:tc>
          <w:tcPr>
            <w:tcW w:w="1139" w:type="dxa"/>
            <w:tcBorders>
              <w:top w:val="single" w:color="000000" w:sz="4" w:space="0"/>
              <w:left w:val="nil"/>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一级</w:t>
            </w:r>
          </w:p>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二级</w:t>
            </w:r>
          </w:p>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三级</w:t>
            </w:r>
          </w:p>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预期指标值</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实际完成指标值</w:t>
            </w:r>
          </w:p>
        </w:tc>
      </w:tr>
      <w:tr>
        <w:tblPrEx>
          <w:tblCellMar>
            <w:top w:w="0" w:type="dxa"/>
            <w:left w:w="108" w:type="dxa"/>
            <w:bottom w:w="0" w:type="dxa"/>
            <w:right w:w="108" w:type="dxa"/>
          </w:tblCellMar>
        </w:tblPrEx>
        <w:trPr>
          <w:trHeight w:val="544" w:hRule="atLeast"/>
        </w:trPr>
        <w:tc>
          <w:tcPr>
            <w:tcW w:w="196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完成</w:t>
            </w:r>
          </w:p>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数量指标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中小学聘用教师人数</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11</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11</w:t>
            </w:r>
          </w:p>
        </w:tc>
      </w:tr>
      <w:tr>
        <w:tblPrEx>
          <w:tblCellMar>
            <w:top w:w="0" w:type="dxa"/>
            <w:left w:w="108" w:type="dxa"/>
            <w:bottom w:w="0" w:type="dxa"/>
            <w:right w:w="108" w:type="dxa"/>
          </w:tblCellMar>
        </w:tblPrEx>
        <w:trPr>
          <w:trHeight w:val="544" w:hRule="atLeast"/>
        </w:trPr>
        <w:tc>
          <w:tcPr>
            <w:tcW w:w="196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质量指标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工资发放准确率</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tabs>
                <w:tab w:val="left" w:pos="374"/>
              </w:tabs>
              <w:spacing w:line="320" w:lineRule="exact"/>
              <w:jc w:val="left"/>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ab/>
            </w:r>
            <w:r>
              <w:rPr>
                <w:rFonts w:hint="eastAsia" w:ascii="仿宋_GB2312" w:hAnsi="仿宋_GB2312" w:eastAsia="仿宋_GB2312" w:cs="仿宋_GB2312"/>
                <w:sz w:val="18"/>
                <w:szCs w:val="18"/>
              </w:rPr>
              <w:t>100%</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100%</w:t>
            </w:r>
          </w:p>
        </w:tc>
      </w:tr>
      <w:tr>
        <w:tblPrEx>
          <w:tblCellMar>
            <w:top w:w="0" w:type="dxa"/>
            <w:left w:w="108" w:type="dxa"/>
            <w:bottom w:w="0" w:type="dxa"/>
            <w:right w:w="108" w:type="dxa"/>
          </w:tblCellMar>
        </w:tblPrEx>
        <w:trPr>
          <w:trHeight w:val="544" w:hRule="atLeast"/>
        </w:trPr>
        <w:tc>
          <w:tcPr>
            <w:tcW w:w="196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时效指标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工资发放时间周期</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12</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12</w:t>
            </w:r>
          </w:p>
        </w:tc>
      </w:tr>
      <w:tr>
        <w:tblPrEx>
          <w:tblCellMar>
            <w:top w:w="0" w:type="dxa"/>
            <w:left w:w="108" w:type="dxa"/>
            <w:bottom w:w="0" w:type="dxa"/>
            <w:right w:w="108" w:type="dxa"/>
          </w:tblCellMar>
        </w:tblPrEx>
        <w:trPr>
          <w:trHeight w:val="629" w:hRule="atLeast"/>
        </w:trPr>
        <w:tc>
          <w:tcPr>
            <w:tcW w:w="196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成本指标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中小学聘用教师工资及社保支出</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6.60万元/人.年</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6.60万元/人.年</w:t>
            </w:r>
          </w:p>
        </w:tc>
      </w:tr>
      <w:tr>
        <w:tblPrEx>
          <w:tblCellMar>
            <w:top w:w="0" w:type="dxa"/>
            <w:left w:w="108" w:type="dxa"/>
            <w:bottom w:w="0" w:type="dxa"/>
            <w:right w:w="108" w:type="dxa"/>
          </w:tblCellMar>
        </w:tblPrEx>
        <w:trPr>
          <w:trHeight w:val="629" w:hRule="atLeast"/>
        </w:trPr>
        <w:tc>
          <w:tcPr>
            <w:tcW w:w="196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hint="default"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效益</w:t>
            </w:r>
          </w:p>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经济效益  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r>
      <w:tr>
        <w:tblPrEx>
          <w:tblCellMar>
            <w:top w:w="0" w:type="dxa"/>
            <w:left w:w="108" w:type="dxa"/>
            <w:bottom w:w="0" w:type="dxa"/>
            <w:right w:w="108" w:type="dxa"/>
          </w:tblCellMar>
        </w:tblPrEx>
        <w:trPr>
          <w:trHeight w:val="964" w:hRule="atLeast"/>
        </w:trPr>
        <w:tc>
          <w:tcPr>
            <w:tcW w:w="196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社会效益  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提高小学教育教学质量</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优良中低差</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良</w:t>
            </w:r>
          </w:p>
        </w:tc>
      </w:tr>
      <w:tr>
        <w:tblPrEx>
          <w:tblCellMar>
            <w:top w:w="0" w:type="dxa"/>
            <w:left w:w="108" w:type="dxa"/>
            <w:bottom w:w="0" w:type="dxa"/>
            <w:right w:w="108" w:type="dxa"/>
          </w:tblCellMar>
        </w:tblPrEx>
        <w:trPr>
          <w:trHeight w:val="756" w:hRule="atLeast"/>
        </w:trPr>
        <w:tc>
          <w:tcPr>
            <w:tcW w:w="196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ind w:left="363" w:leftChars="87" w:hanging="180" w:hangingChars="100"/>
              <w:jc w:val="left"/>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生态效益  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r>
      <w:tr>
        <w:tblPrEx>
          <w:tblCellMar>
            <w:top w:w="0" w:type="dxa"/>
            <w:left w:w="108" w:type="dxa"/>
            <w:bottom w:w="0" w:type="dxa"/>
            <w:right w:w="108" w:type="dxa"/>
          </w:tblCellMar>
        </w:tblPrEx>
        <w:trPr>
          <w:trHeight w:val="629" w:hRule="atLeast"/>
        </w:trPr>
        <w:tc>
          <w:tcPr>
            <w:tcW w:w="196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可持续影响 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r>
      <w:tr>
        <w:tblPrEx>
          <w:tblCellMar>
            <w:top w:w="0" w:type="dxa"/>
            <w:left w:w="108" w:type="dxa"/>
            <w:bottom w:w="0" w:type="dxa"/>
            <w:right w:w="108" w:type="dxa"/>
          </w:tblCellMar>
        </w:tblPrEx>
        <w:trPr>
          <w:trHeight w:val="693" w:hRule="atLeast"/>
        </w:trPr>
        <w:tc>
          <w:tcPr>
            <w:tcW w:w="1967" w:type="dxa"/>
            <w:vMerge w:val="continue"/>
            <w:tcBorders>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满意</w:t>
            </w:r>
          </w:p>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度指标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满意度</w:t>
            </w:r>
          </w:p>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中小学聘用教师满意度</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98%</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98%</w:t>
            </w:r>
          </w:p>
        </w:tc>
      </w:tr>
    </w:tbl>
    <w:p>
      <w:pPr>
        <w:spacing w:line="540" w:lineRule="exact"/>
        <w:ind w:firstLine="640" w:firstLineChars="200"/>
        <w:rPr>
          <w:rFonts w:ascii="仿宋" w:hAnsi="仿宋" w:eastAsia="仿宋"/>
          <w:sz w:val="32"/>
          <w:szCs w:val="32"/>
        </w:rPr>
      </w:pPr>
    </w:p>
    <w:tbl>
      <w:tblPr>
        <w:tblStyle w:val="13"/>
        <w:tblpPr w:leftFromText="180" w:rightFromText="180" w:vertAnchor="text" w:horzAnchor="page" w:tblpX="1281" w:tblpY="660"/>
        <w:tblOverlap w:val="never"/>
        <w:tblW w:w="236" w:type="dxa"/>
        <w:tblInd w:w="0" w:type="dxa"/>
        <w:tblLayout w:type="fixed"/>
        <w:tblCellMar>
          <w:top w:w="0" w:type="dxa"/>
          <w:left w:w="108" w:type="dxa"/>
          <w:bottom w:w="0" w:type="dxa"/>
          <w:right w:w="108" w:type="dxa"/>
        </w:tblCellMar>
      </w:tblPr>
      <w:tblGrid>
        <w:gridCol w:w="236"/>
      </w:tblGrid>
      <w:tr>
        <w:trPr>
          <w:trHeight w:val="939" w:hRule="atLeast"/>
        </w:trPr>
        <w:tc>
          <w:tcPr>
            <w:tcW w:w="236" w:type="dxa"/>
            <w:tcBorders>
              <w:top w:val="nil"/>
              <w:left w:val="nil"/>
              <w:bottom w:val="nil"/>
              <w:right w:val="nil"/>
            </w:tcBorders>
            <w:shd w:val="clear" w:color="auto" w:fill="auto"/>
            <w:vAlign w:val="center"/>
          </w:tcPr>
          <w:p>
            <w:pPr>
              <w:widowControl/>
              <w:jc w:val="center"/>
              <w:textAlignment w:val="center"/>
              <w:rPr>
                <w:rFonts w:ascii="宋体" w:hAnsi="宋体" w:cs="宋体"/>
                <w:b/>
                <w:kern w:val="0"/>
                <w:sz w:val="32"/>
                <w:szCs w:val="32"/>
              </w:rPr>
            </w:pPr>
          </w:p>
        </w:tc>
      </w:tr>
    </w:tbl>
    <w:p>
      <w:pPr>
        <w:spacing w:line="600" w:lineRule="exact"/>
        <w:jc w:val="center"/>
        <w:outlineLvl w:val="0"/>
        <w:rPr>
          <w:rFonts w:ascii="仿宋" w:hAnsi="仿宋" w:eastAsia="仿宋"/>
        </w:rPr>
      </w:pPr>
      <w:r>
        <w:rPr>
          <w:rFonts w:hint="eastAsia" w:ascii="黑体" w:hAnsi="黑体" w:eastAsia="黑体"/>
          <w:sz w:val="44"/>
          <w:szCs w:val="44"/>
        </w:rPr>
        <w:t>第</w:t>
      </w:r>
      <w:r>
        <w:rPr>
          <w:rStyle w:val="25"/>
          <w:rFonts w:hint="eastAsia" w:ascii="黑体" w:hAnsi="黑体" w:eastAsia="黑体"/>
          <w:b w:val="0"/>
        </w:rPr>
        <w:t>五部分 附表</w:t>
      </w:r>
      <w:bookmarkEnd w:id="50"/>
      <w:bookmarkEnd w:id="51"/>
      <w:bookmarkStart w:id="52" w:name="_Toc15396619"/>
    </w:p>
    <w:p>
      <w:pPr>
        <w:pStyle w:val="4"/>
        <w:rPr>
          <w:rStyle w:val="26"/>
          <w:rFonts w:hint="eastAsia" w:ascii="仿宋" w:hAnsi="仿宋" w:eastAsia="仿宋"/>
          <w:b/>
          <w:bCs w:val="0"/>
        </w:rPr>
      </w:pPr>
      <w:r>
        <w:rPr>
          <w:rFonts w:hint="eastAsia" w:ascii="仿宋" w:hAnsi="仿宋" w:eastAsia="仿宋"/>
          <w:b w:val="0"/>
        </w:rPr>
        <w:t>一、</w:t>
      </w:r>
      <w:r>
        <w:rPr>
          <w:rFonts w:hint="eastAsia" w:ascii="仿宋" w:hAnsi="仿宋" w:eastAsia="仿宋"/>
        </w:rPr>
        <w:t>收</w:t>
      </w:r>
      <w:r>
        <w:rPr>
          <w:rStyle w:val="26"/>
          <w:rFonts w:hint="eastAsia" w:ascii="仿宋" w:hAnsi="仿宋" w:eastAsia="仿宋"/>
          <w:b/>
          <w:bCs w:val="0"/>
        </w:rPr>
        <w:t>入支出决算总表</w:t>
      </w:r>
      <w:bookmarkEnd w:id="52"/>
    </w:p>
    <w:p>
      <w:pPr>
        <w:rPr>
          <w:rStyle w:val="26"/>
          <w:rFonts w:hint="eastAsia" w:ascii="仿宋" w:hAnsi="仿宋" w:eastAsia="仿宋"/>
          <w:b/>
          <w:bCs w:val="0"/>
        </w:rPr>
      </w:pPr>
    </w:p>
    <w:p>
      <w:pPr>
        <w:pStyle w:val="2"/>
      </w:pPr>
    </w:p>
    <w:tbl>
      <w:tblPr>
        <w:tblStyle w:val="13"/>
        <w:tblW w:w="71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67"/>
        <w:gridCol w:w="504"/>
        <w:gridCol w:w="735"/>
        <w:gridCol w:w="2042"/>
        <w:gridCol w:w="462"/>
        <w:gridCol w:w="10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180" w:type="dxa"/>
            <w:gridSpan w:val="6"/>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2337" w:type="dxa"/>
            <w:tcBorders>
              <w:top w:val="nil"/>
              <w:left w:val="nil"/>
              <w:bottom w:val="nil"/>
              <w:right w:val="nil"/>
            </w:tcBorders>
            <w:shd w:val="clear" w:color="auto" w:fill="auto"/>
            <w:noWrap/>
            <w:vAlign w:val="bottom"/>
          </w:tcPr>
          <w:p>
            <w:pPr>
              <w:rPr>
                <w:rFonts w:hint="eastAsia" w:ascii="Arial" w:hAnsi="Arial" w:cs="Arial"/>
                <w:i w:val="0"/>
                <w:iCs w:val="0"/>
                <w:color w:val="000000"/>
                <w:sz w:val="12"/>
                <w:szCs w:val="12"/>
                <w:u w:val="none"/>
              </w:rPr>
            </w:pPr>
          </w:p>
        </w:tc>
        <w:tc>
          <w:tcPr>
            <w:tcW w:w="498" w:type="dxa"/>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财决公开01表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2337"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部门：乐山市县街小学</w:t>
            </w:r>
          </w:p>
        </w:tc>
        <w:tc>
          <w:tcPr>
            <w:tcW w:w="498" w:type="dxa"/>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2021年度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收入</w:t>
            </w:r>
          </w:p>
        </w:tc>
        <w:tc>
          <w:tcPr>
            <w:tcW w:w="0" w:type="auto"/>
            <w:gridSpan w:val="3"/>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w:t>
            </w: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行次</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决算数</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行次</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栏次</w:t>
            </w:r>
          </w:p>
        </w:tc>
        <w:tc>
          <w:tcPr>
            <w:tcW w:w="498" w:type="dxa"/>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栏次</w:t>
            </w:r>
          </w:p>
        </w:tc>
        <w:tc>
          <w:tcPr>
            <w:tcW w:w="0" w:type="auto"/>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一、一般公共预算财政拨款收入</w:t>
            </w: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2,231.27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一、一般公共服务支出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二、政府性基金预算财政拨款</w:t>
            </w: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二、外交支出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三、国有资本经营预算财政拨款收入</w:t>
            </w: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三、国防支出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四、上级补助收入</w:t>
            </w: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四、公共安全支出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五、事业收入</w:t>
            </w: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五、教育支出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1,866.66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六、经营收入</w:t>
            </w: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六、科学技术支出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七、附属单位上缴收入</w:t>
            </w: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七、文化旅游体育与传媒支出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八、其他收入</w:t>
            </w: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八、社会保障和就业支出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250.45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九、卫生健康支出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十、节能环保支出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十一、城乡社区支出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十二、农林水支出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十三、交通运输支出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十四、资源勘探工业信息等支出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十五、商业服务业等支出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十六、金融支出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十七、援助其他地区支出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十八、自然资源海洋气象等支出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十九、住房保障支出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二十、粮油物资储备支出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二十一、国有资本经营预算支出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二十二、灾害防治及应急管理支出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二十三、其他支出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二十四、债务还本支出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b/>
                <w:bCs/>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二十五、债务付息支出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二十六、抗疫特别国债安排的支出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本年收入合计</w:t>
            </w: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2,231.27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本年支出合计</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2,306.44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使用非财政拨款结余</w:t>
            </w: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结余分配</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年初结转和结余</w:t>
            </w: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75.17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年末结转和结余</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61</w:t>
            </w: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trPr>
        <w:tc>
          <w:tcPr>
            <w:tcW w:w="2337"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总计</w:t>
            </w:r>
          </w:p>
        </w:tc>
        <w:tc>
          <w:tcPr>
            <w:tcW w:w="498"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2,306.44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总计</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2,306.44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8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2"/>
                <w:szCs w:val="12"/>
                <w:u w:val="none"/>
                <w:lang w:val="en-US" w:eastAsia="zh-CN" w:bidi="ar"/>
              </w:rPr>
            </w:pPr>
            <w:r>
              <w:rPr>
                <w:rFonts w:hint="eastAsia" w:ascii="宋体" w:hAnsi="宋体" w:eastAsia="宋体" w:cs="宋体"/>
                <w:i w:val="0"/>
                <w:iCs w:val="0"/>
                <w:color w:val="000000"/>
                <w:kern w:val="0"/>
                <w:sz w:val="12"/>
                <w:szCs w:val="12"/>
                <w:u w:val="none"/>
                <w:lang w:val="en-US" w:eastAsia="zh-CN" w:bidi="ar"/>
              </w:rPr>
              <w:t xml:space="preserve">注：1.本表反映部门本年度的总收支和年末结转结余情况。 </w:t>
            </w:r>
          </w:p>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2.本套报表金额单位转换时可能存在尾数误差。</w:t>
            </w:r>
          </w:p>
        </w:tc>
      </w:tr>
    </w:tbl>
    <w:p>
      <w:pPr>
        <w:pStyle w:val="2"/>
        <w:spacing w:before="93"/>
      </w:pPr>
    </w:p>
    <w:p/>
    <w:p>
      <w:pPr>
        <w:rPr>
          <w:rStyle w:val="26"/>
          <w:rFonts w:ascii="仿宋" w:hAnsi="仿宋" w:eastAsia="仿宋"/>
          <w:b w:val="0"/>
          <w:bCs w:val="0"/>
          <w:sz w:val="28"/>
          <w:szCs w:val="28"/>
        </w:rPr>
      </w:pPr>
      <w:bookmarkStart w:id="53" w:name="_Toc15396620"/>
      <w:r>
        <w:rPr>
          <w:rFonts w:hint="eastAsia" w:ascii="仿宋" w:hAnsi="仿宋" w:eastAsia="仿宋"/>
          <w:sz w:val="32"/>
          <w:szCs w:val="32"/>
        </w:rPr>
        <w:t>二、</w:t>
      </w:r>
      <w:r>
        <w:rPr>
          <w:rFonts w:hint="eastAsia" w:ascii="仿宋" w:hAnsi="仿宋" w:eastAsia="仿宋"/>
          <w:b/>
          <w:sz w:val="32"/>
          <w:szCs w:val="32"/>
        </w:rPr>
        <w:t>收</w:t>
      </w:r>
      <w:r>
        <w:rPr>
          <w:rStyle w:val="26"/>
          <w:rFonts w:hint="eastAsia" w:ascii="仿宋" w:hAnsi="仿宋" w:eastAsia="仿宋"/>
          <w:bCs w:val="0"/>
        </w:rPr>
        <w:t>入决算表</w:t>
      </w:r>
      <w:bookmarkEnd w:id="53"/>
    </w:p>
    <w:tbl>
      <w:tblPr>
        <w:tblStyle w:val="13"/>
        <w:tblW w:w="703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16"/>
        <w:gridCol w:w="336"/>
        <w:gridCol w:w="2256"/>
        <w:gridCol w:w="696"/>
        <w:gridCol w:w="696"/>
        <w:gridCol w:w="336"/>
        <w:gridCol w:w="336"/>
        <w:gridCol w:w="336"/>
        <w:gridCol w:w="336"/>
        <w:gridCol w:w="10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6450" w:type="dxa"/>
            <w:gridSpan w:val="10"/>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rPr>
                <w:rFonts w:hint="eastAsia"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财决公开02表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部门：乐山市县街小学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科目编码</w:t>
            </w:r>
          </w:p>
        </w:tc>
        <w:tc>
          <w:tcPr>
            <w:tcW w:w="0" w:type="auto"/>
            <w:vMerge w:val="restart"/>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科目名称</w:t>
            </w:r>
          </w:p>
        </w:tc>
        <w:tc>
          <w:tcPr>
            <w:tcW w:w="78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本年收入合计</w:t>
            </w:r>
          </w:p>
        </w:tc>
        <w:tc>
          <w:tcPr>
            <w:tcW w:w="85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财政拨款收入</w:t>
            </w:r>
          </w:p>
        </w:tc>
        <w:tc>
          <w:tcPr>
            <w:tcW w:w="57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上级补助收入</w:t>
            </w:r>
          </w:p>
        </w:tc>
        <w:tc>
          <w:tcPr>
            <w:tcW w:w="54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事业收入</w:t>
            </w:r>
          </w:p>
        </w:tc>
        <w:tc>
          <w:tcPr>
            <w:tcW w:w="61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经营收入</w:t>
            </w:r>
          </w:p>
        </w:tc>
        <w:tc>
          <w:tcPr>
            <w:tcW w:w="48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附属单位上缴收入</w:t>
            </w:r>
          </w:p>
        </w:tc>
        <w:tc>
          <w:tcPr>
            <w:tcW w:w="58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78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85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57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54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61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48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58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78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85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57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54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61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48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58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78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85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57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54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61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48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58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vMerge w:val="restar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类</w:t>
            </w:r>
          </w:p>
        </w:tc>
        <w:tc>
          <w:tcPr>
            <w:tcW w:w="0" w:type="auto"/>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款</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栏次</w:t>
            </w:r>
          </w:p>
        </w:tc>
        <w:tc>
          <w:tcPr>
            <w:tcW w:w="78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w:t>
            </w:r>
          </w:p>
        </w:tc>
        <w:tc>
          <w:tcPr>
            <w:tcW w:w="85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w:t>
            </w:r>
          </w:p>
        </w:tc>
        <w:tc>
          <w:tcPr>
            <w:tcW w:w="57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w:t>
            </w:r>
          </w:p>
        </w:tc>
        <w:tc>
          <w:tcPr>
            <w:tcW w:w="54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w:t>
            </w:r>
          </w:p>
        </w:tc>
        <w:tc>
          <w:tcPr>
            <w:tcW w:w="61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48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w:t>
            </w:r>
          </w:p>
        </w:tc>
        <w:tc>
          <w:tcPr>
            <w:tcW w:w="58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vMerge w:val="continue"/>
            <w:tcBorders>
              <w:top w:val="nil"/>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2,231.27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2,231.27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教育支出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1,791.49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1,791.49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普通教育</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1,748.61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1,748.61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2050202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小学教育</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1,748.61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1,748.61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进修及培训</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2.94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2.94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2050801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教师进修</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2.94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2.94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教育费附加安排的支出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39.94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39.94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2050903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城市中小学校舍建设</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39.94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39.94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社会保障和就业支出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250.46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250.46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行政事业单位养老支出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229.81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229.81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2080502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事业单位离退休</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0.18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0.18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2080505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机关事业单位基本养老保险缴费支出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143.36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143.36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2080506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机关事业单位职业年金缴费支出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85.71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85.71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2080599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其他行政事业单位养老支出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0.56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0.56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抚恤</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5.69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5.69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2080801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死亡抚恤</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2080899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其他优抚支出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0.77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0.77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20811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残疾人事业</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14.96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14.96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2081199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其他残疾人事业支出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14.96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14.96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卫生健康支出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21011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行政事业单位医疗</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2101102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事业单位医疗</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住房保障支出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22102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住房改革支出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2210201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住房公积金</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2" w:hRule="atLeast"/>
        </w:trPr>
        <w:tc>
          <w:tcPr>
            <w:tcW w:w="6450" w:type="dxa"/>
            <w:gridSpan w:val="10"/>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2"/>
                <w:szCs w:val="12"/>
                <w:u w:val="none"/>
                <w:lang w:val="en-US" w:eastAsia="zh-CN" w:bidi="ar"/>
              </w:rPr>
            </w:pPr>
            <w:r>
              <w:rPr>
                <w:rFonts w:hint="eastAsia" w:ascii="宋体" w:hAnsi="宋体" w:eastAsia="宋体" w:cs="宋体"/>
                <w:i w:val="0"/>
                <w:iCs w:val="0"/>
                <w:color w:val="000000"/>
                <w:kern w:val="0"/>
                <w:sz w:val="12"/>
                <w:szCs w:val="12"/>
                <w:u w:val="none"/>
                <w:lang w:val="en-US" w:eastAsia="zh-CN" w:bidi="ar"/>
              </w:rPr>
              <w:t xml:space="preserve">注：本表以“万元”为金额单位（保留两位小数）； </w:t>
            </w:r>
          </w:p>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本表反映部门本年度取得的各项收入情况。</w:t>
            </w:r>
          </w:p>
        </w:tc>
      </w:tr>
    </w:tbl>
    <w:p>
      <w:pPr>
        <w:pStyle w:val="2"/>
        <w:spacing w:before="93"/>
      </w:pPr>
    </w:p>
    <w:p>
      <w:pPr>
        <w:pStyle w:val="4"/>
        <w:rPr>
          <w:rStyle w:val="26"/>
          <w:rFonts w:ascii="仿宋" w:hAnsi="仿宋" w:eastAsia="仿宋"/>
          <w:b/>
          <w:bCs w:val="0"/>
        </w:rPr>
      </w:pPr>
      <w:bookmarkStart w:id="54" w:name="_Toc15396621"/>
      <w:r>
        <w:rPr>
          <w:rStyle w:val="26"/>
          <w:rFonts w:hint="eastAsia" w:ascii="仿宋" w:hAnsi="仿宋" w:eastAsia="仿宋"/>
          <w:b/>
          <w:bCs w:val="0"/>
        </w:rPr>
        <w:t>三、</w:t>
      </w:r>
      <w:r>
        <w:rPr>
          <w:rFonts w:hint="eastAsia" w:ascii="仿宋" w:hAnsi="仿宋" w:eastAsia="仿宋"/>
        </w:rPr>
        <w:t>支</w:t>
      </w:r>
      <w:r>
        <w:rPr>
          <w:rStyle w:val="26"/>
          <w:rFonts w:hint="eastAsia" w:ascii="仿宋" w:hAnsi="仿宋" w:eastAsia="仿宋"/>
          <w:b/>
          <w:bCs w:val="0"/>
        </w:rPr>
        <w:t>出决算表</w:t>
      </w:r>
      <w:bookmarkEnd w:id="54"/>
    </w:p>
    <w:tbl>
      <w:tblPr>
        <w:tblStyle w:val="13"/>
        <w:tblW w:w="57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16"/>
        <w:gridCol w:w="336"/>
        <w:gridCol w:w="2256"/>
        <w:gridCol w:w="696"/>
        <w:gridCol w:w="696"/>
        <w:gridCol w:w="576"/>
        <w:gridCol w:w="336"/>
        <w:gridCol w:w="336"/>
        <w:gridCol w:w="10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310" w:type="dxa"/>
            <w:gridSpan w:val="9"/>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rPr>
                <w:rFonts w:hint="eastAsia"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财决公开03表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部门：乐山市县街小学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科目编码</w:t>
            </w:r>
          </w:p>
        </w:tc>
        <w:tc>
          <w:tcPr>
            <w:tcW w:w="0" w:type="auto"/>
            <w:vMerge w:val="restart"/>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科目名称</w:t>
            </w:r>
          </w:p>
        </w:tc>
        <w:tc>
          <w:tcPr>
            <w:tcW w:w="81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本年支出合计</w:t>
            </w:r>
          </w:p>
        </w:tc>
        <w:tc>
          <w:tcPr>
            <w:tcW w:w="72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基本支出</w:t>
            </w:r>
          </w:p>
        </w:tc>
        <w:tc>
          <w:tcPr>
            <w:tcW w:w="66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项目支出</w:t>
            </w:r>
          </w:p>
        </w:tc>
        <w:tc>
          <w:tcPr>
            <w:tcW w:w="43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上缴上级支出</w:t>
            </w:r>
          </w:p>
        </w:tc>
        <w:tc>
          <w:tcPr>
            <w:tcW w:w="39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经营支出</w:t>
            </w:r>
          </w:p>
        </w:tc>
        <w:tc>
          <w:tcPr>
            <w:tcW w:w="40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81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72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66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4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39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40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81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72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66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4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39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40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81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72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66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4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39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40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vMerge w:val="restar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类</w:t>
            </w:r>
          </w:p>
        </w:tc>
        <w:tc>
          <w:tcPr>
            <w:tcW w:w="0" w:type="auto"/>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款</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栏次</w:t>
            </w:r>
          </w:p>
        </w:tc>
        <w:tc>
          <w:tcPr>
            <w:tcW w:w="81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w:t>
            </w:r>
          </w:p>
        </w:tc>
        <w:tc>
          <w:tcPr>
            <w:tcW w:w="72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w:t>
            </w:r>
          </w:p>
        </w:tc>
        <w:tc>
          <w:tcPr>
            <w:tcW w:w="66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w:t>
            </w:r>
          </w:p>
        </w:tc>
        <w:tc>
          <w:tcPr>
            <w:tcW w:w="43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w:t>
            </w:r>
          </w:p>
        </w:tc>
        <w:tc>
          <w:tcPr>
            <w:tcW w:w="39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40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nil"/>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2,306.44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2,113.99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192.45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教育支出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1,866.67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1,674.21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192.46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普通教育</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1,769.62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1,674.21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95.41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2050202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小学教育</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1,769.62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1,674.21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95.41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进修及培训</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2.94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2.94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2050801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教师进修</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2.94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2.94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教育费附加安排的支出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94.11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94.11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2050903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城市中小学校舍建设</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39.94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39.94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2050904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城市中小学教学设施</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54.17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54.17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社会保障和就业支出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250.46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250.46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行政事业单位养老支出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229.81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229.81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2080502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事业单位离退休</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0.18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0.18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2080505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机关事业单位基本养老保险缴费支出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143.36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143.36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2080506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机关事业单位职业年金缴费支出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85.71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85.71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2080599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其他行政事业单位养老支出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0.56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0.56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抚恤</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5.69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5.69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2080801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死亡抚恤</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2080899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其他优抚支出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0.77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0.77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20811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残疾人事业</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14.96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14.96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2081199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其他残疾人事业支出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14.96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14.96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卫生健康支出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21011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行政事业单位医疗</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2101102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事业单位医疗</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住房保障支出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22102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住房改革支出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2210201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住房公积金</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9"/>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注：本表以“万元”为金额单位（保留两位小数），反映部门本年度各项支出情况。</w:t>
            </w:r>
          </w:p>
        </w:tc>
      </w:tr>
    </w:tbl>
    <w:p>
      <w:pPr>
        <w:pStyle w:val="2"/>
        <w:spacing w:before="93"/>
      </w:pPr>
    </w:p>
    <w:p>
      <w:pPr>
        <w:pStyle w:val="2"/>
        <w:spacing w:before="93"/>
        <w:rPr>
          <w:rStyle w:val="26"/>
          <w:rFonts w:ascii="仿宋" w:hAnsi="仿宋" w:eastAsia="仿宋"/>
          <w:b w:val="0"/>
          <w:bCs w:val="0"/>
        </w:rPr>
      </w:pPr>
      <w:bookmarkStart w:id="55" w:name="_Toc15396622"/>
      <w:r>
        <w:rPr>
          <w:rStyle w:val="26"/>
          <w:rFonts w:hint="eastAsia" w:ascii="仿宋" w:hAnsi="仿宋" w:eastAsia="仿宋"/>
          <w:bCs w:val="0"/>
        </w:rPr>
        <w:t>四、</w:t>
      </w:r>
      <w:r>
        <w:rPr>
          <w:rFonts w:hint="eastAsia" w:ascii="仿宋" w:hAnsi="仿宋" w:eastAsia="仿宋"/>
          <w:b/>
        </w:rPr>
        <w:t>财</w:t>
      </w:r>
      <w:r>
        <w:rPr>
          <w:rStyle w:val="26"/>
          <w:rFonts w:hint="eastAsia" w:ascii="仿宋" w:hAnsi="仿宋" w:eastAsia="仿宋"/>
          <w:bCs w:val="0"/>
        </w:rPr>
        <w:t>政拨款收入支出决算总表</w:t>
      </w:r>
      <w:bookmarkEnd w:id="55"/>
    </w:p>
    <w:tbl>
      <w:tblPr>
        <w:tblStyle w:val="13"/>
        <w:tblW w:w="806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96"/>
        <w:gridCol w:w="343"/>
        <w:gridCol w:w="725"/>
        <w:gridCol w:w="2123"/>
        <w:gridCol w:w="343"/>
        <w:gridCol w:w="725"/>
        <w:gridCol w:w="725"/>
        <w:gridCol w:w="343"/>
        <w:gridCol w:w="11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nil"/>
              <w:bottom w:val="nil"/>
              <w:right w:val="nil"/>
            </w:tcBorders>
            <w:shd w:val="clear" w:color="auto" w:fill="auto"/>
            <w:noWrap/>
            <w:vAlign w:val="bottom"/>
          </w:tcPr>
          <w:p>
            <w:pPr>
              <w:rPr>
                <w:rFonts w:hint="eastAsia" w:ascii="Arial" w:hAnsi="Arial" w:cs="Arial"/>
                <w:i w:val="0"/>
                <w:iCs w:val="0"/>
                <w:color w:val="000000"/>
                <w:sz w:val="13"/>
                <w:szCs w:val="13"/>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财决公开04表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部门：乐山市县街小学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收     入</w:t>
            </w:r>
          </w:p>
        </w:tc>
        <w:tc>
          <w:tcPr>
            <w:tcW w:w="0" w:type="auto"/>
            <w:gridSpan w:val="6"/>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896" w:type="dxa"/>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项目</w:t>
            </w:r>
          </w:p>
        </w:tc>
        <w:tc>
          <w:tcPr>
            <w:tcW w:w="336"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行次</w:t>
            </w:r>
          </w:p>
        </w:tc>
        <w:tc>
          <w:tcPr>
            <w:tcW w:w="696"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金额</w:t>
            </w:r>
          </w:p>
        </w:tc>
        <w:tc>
          <w:tcPr>
            <w:tcW w:w="2016"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项目</w:t>
            </w:r>
          </w:p>
        </w:tc>
        <w:tc>
          <w:tcPr>
            <w:tcW w:w="336"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行次</w:t>
            </w:r>
          </w:p>
        </w:tc>
        <w:tc>
          <w:tcPr>
            <w:tcW w:w="0" w:type="auto"/>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合计</w:t>
            </w:r>
          </w:p>
        </w:tc>
        <w:tc>
          <w:tcPr>
            <w:tcW w:w="696"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一般公共预算财政拨款</w:t>
            </w:r>
          </w:p>
        </w:tc>
        <w:tc>
          <w:tcPr>
            <w:tcW w:w="336"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政府性基金预算财政拨款</w:t>
            </w:r>
          </w:p>
        </w:tc>
        <w:tc>
          <w:tcPr>
            <w:tcW w:w="1056"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9" w:hRule="atLeast"/>
        </w:trPr>
        <w:tc>
          <w:tcPr>
            <w:tcW w:w="1896" w:type="dxa"/>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336"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696"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2016"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336"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0" w:type="auto"/>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3"/>
                <w:szCs w:val="13"/>
                <w:u w:val="none"/>
              </w:rPr>
            </w:pPr>
          </w:p>
        </w:tc>
        <w:tc>
          <w:tcPr>
            <w:tcW w:w="696"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336"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1056"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栏次</w:t>
            </w:r>
          </w:p>
        </w:tc>
        <w:tc>
          <w:tcPr>
            <w:tcW w:w="0" w:type="auto"/>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栏次</w:t>
            </w:r>
          </w:p>
        </w:tc>
        <w:tc>
          <w:tcPr>
            <w:tcW w:w="0" w:type="auto"/>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一、一般公共预算财政拨款</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2,231.27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一、一般公共服务支出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二、政府性基金预算财政拨款</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二、外交支出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三、国有资本经营预算财政拨款</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三、国防支出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四、公共安全支出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五、教育支出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1,866.66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1,866.66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六、科学技术支出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七、文化旅游体育与传媒支出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八、社会保障和就业支出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40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250.45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250.45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九、卫生健康支出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41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十、节能环保支出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42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十一、城乡社区支出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43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十二、农林水支出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44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十三、交通运输支出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45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十四、资源勘探工业信息等支出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十五、商业服务业等支出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47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十六、金融支出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48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十七、援助其他地区支出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49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十八、自然资源海洋气象等支出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十九、住房保障支出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二十、粮油物资储备支出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二十一、国有资本经营预算支出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二十二、灾害防治及应急管理支出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二十三、其他支出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二十四、债务还本支出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二十五、债务付息支出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二十六、抗疫特别国债安排的支出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3"/>
                <w:szCs w:val="13"/>
                <w:u w:val="none"/>
              </w:rPr>
            </w:pPr>
            <w:r>
              <w:rPr>
                <w:rFonts w:hint="eastAsia" w:ascii="宋体" w:hAnsi="宋体" w:eastAsia="宋体" w:cs="宋体"/>
                <w:b/>
                <w:bCs/>
                <w:i w:val="0"/>
                <w:iCs w:val="0"/>
                <w:color w:val="000000"/>
                <w:kern w:val="0"/>
                <w:sz w:val="13"/>
                <w:szCs w:val="13"/>
                <w:u w:val="none"/>
                <w:lang w:val="en-US" w:eastAsia="zh-CN" w:bidi="ar"/>
              </w:rPr>
              <w:t>本年收入合计</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2,231.27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3"/>
                <w:szCs w:val="13"/>
                <w:u w:val="none"/>
              </w:rPr>
            </w:pPr>
            <w:r>
              <w:rPr>
                <w:rFonts w:hint="eastAsia" w:ascii="宋体" w:hAnsi="宋体" w:eastAsia="宋体" w:cs="宋体"/>
                <w:b/>
                <w:bCs/>
                <w:i w:val="0"/>
                <w:iCs w:val="0"/>
                <w:color w:val="000000"/>
                <w:kern w:val="0"/>
                <w:sz w:val="13"/>
                <w:szCs w:val="13"/>
                <w:u w:val="none"/>
                <w:lang w:val="en-US" w:eastAsia="zh-CN" w:bidi="ar"/>
              </w:rPr>
              <w:t>本年支出合计</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2,306.44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2,306.44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年初财政拨款结转和结余</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75.17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年末财政拨款结转和结余</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60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一般公共预算财政拨款</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75.17</w:t>
            </w: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61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政府性基金预算财政拨款</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62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国有资本经营预算财政拨款</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63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3"/>
                <w:szCs w:val="13"/>
                <w:u w:val="none"/>
              </w:rPr>
            </w:pPr>
            <w:r>
              <w:rPr>
                <w:rFonts w:hint="eastAsia" w:ascii="宋体" w:hAnsi="宋体" w:eastAsia="宋体" w:cs="宋体"/>
                <w:b/>
                <w:bCs/>
                <w:i w:val="0"/>
                <w:iCs w:val="0"/>
                <w:color w:val="000000"/>
                <w:kern w:val="0"/>
                <w:sz w:val="13"/>
                <w:szCs w:val="13"/>
                <w:u w:val="none"/>
                <w:lang w:val="en-US" w:eastAsia="zh-CN" w:bidi="ar"/>
              </w:rPr>
              <w:t>总计</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2,306.44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3"/>
                <w:szCs w:val="13"/>
                <w:u w:val="none"/>
              </w:rPr>
            </w:pPr>
            <w:r>
              <w:rPr>
                <w:rFonts w:hint="eastAsia" w:ascii="宋体" w:hAnsi="宋体" w:eastAsia="宋体" w:cs="宋体"/>
                <w:b/>
                <w:bCs/>
                <w:i w:val="0"/>
                <w:iCs w:val="0"/>
                <w:color w:val="000000"/>
                <w:kern w:val="0"/>
                <w:sz w:val="13"/>
                <w:szCs w:val="13"/>
                <w:u w:val="none"/>
                <w:lang w:val="en-US" w:eastAsia="zh-CN" w:bidi="ar"/>
              </w:rPr>
              <w:t>总计</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64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2,306.44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2,306.44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64"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注：本表以“万元”为金额单位（保留两位小数），反映部门本年度一般公共预算财政拨款、政府性基金预算财政拨款和国有资本经营预算财政拨款的总收支和年末结转结余情况。</w:t>
            </w:r>
          </w:p>
        </w:tc>
      </w:tr>
    </w:tbl>
    <w:p>
      <w:pPr>
        <w:pStyle w:val="2"/>
        <w:spacing w:before="93"/>
      </w:pPr>
    </w:p>
    <w:p>
      <w:pPr>
        <w:pStyle w:val="2"/>
        <w:spacing w:before="93"/>
      </w:pPr>
    </w:p>
    <w:p>
      <w:pPr>
        <w:pStyle w:val="2"/>
        <w:spacing w:before="93"/>
      </w:pPr>
    </w:p>
    <w:p>
      <w:pPr>
        <w:pStyle w:val="2"/>
        <w:spacing w:before="93"/>
      </w:pPr>
    </w:p>
    <w:p>
      <w:pPr>
        <w:pStyle w:val="2"/>
        <w:spacing w:before="93"/>
      </w:pPr>
    </w:p>
    <w:p>
      <w:pPr>
        <w:pStyle w:val="2"/>
        <w:spacing w:before="93"/>
      </w:pPr>
    </w:p>
    <w:p>
      <w:pPr>
        <w:pStyle w:val="2"/>
        <w:spacing w:before="93"/>
      </w:pPr>
    </w:p>
    <w:p>
      <w:pPr>
        <w:pStyle w:val="2"/>
        <w:spacing w:before="93"/>
      </w:pPr>
    </w:p>
    <w:p>
      <w:pPr>
        <w:pStyle w:val="2"/>
        <w:spacing w:before="93"/>
      </w:pPr>
    </w:p>
    <w:p>
      <w:pPr>
        <w:pStyle w:val="2"/>
        <w:spacing w:before="93"/>
      </w:pPr>
    </w:p>
    <w:p>
      <w:pPr>
        <w:pStyle w:val="4"/>
        <w:rPr>
          <w:rStyle w:val="26"/>
          <w:rFonts w:ascii="仿宋" w:hAnsi="仿宋" w:eastAsia="仿宋"/>
          <w:b/>
          <w:bCs w:val="0"/>
        </w:rPr>
      </w:pPr>
      <w:bookmarkStart w:id="56" w:name="_Toc15396623"/>
      <w:r>
        <w:rPr>
          <w:rStyle w:val="26"/>
          <w:rFonts w:hint="eastAsia" w:ascii="仿宋" w:hAnsi="仿宋" w:eastAsia="仿宋"/>
          <w:b/>
          <w:bCs w:val="0"/>
        </w:rPr>
        <w:t>五、</w:t>
      </w:r>
      <w:r>
        <w:rPr>
          <w:rFonts w:hint="eastAsia" w:ascii="仿宋" w:hAnsi="仿宋" w:eastAsia="仿宋"/>
        </w:rPr>
        <w:t>财</w:t>
      </w:r>
      <w:r>
        <w:rPr>
          <w:rStyle w:val="26"/>
          <w:rFonts w:hint="eastAsia" w:ascii="仿宋" w:hAnsi="仿宋" w:eastAsia="仿宋"/>
          <w:b/>
          <w:bCs w:val="0"/>
        </w:rPr>
        <w:t>政拨款支出决算明细表</w:t>
      </w:r>
      <w:bookmarkEnd w:id="56"/>
      <w:bookmarkStart w:id="57" w:name="_Toc15396624"/>
    </w:p>
    <w:tbl>
      <w:tblPr>
        <w:tblStyle w:val="13"/>
        <w:tblW w:w="65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3"/>
        <w:gridCol w:w="220"/>
        <w:gridCol w:w="220"/>
        <w:gridCol w:w="1489"/>
        <w:gridCol w:w="357"/>
        <w:gridCol w:w="499"/>
        <w:gridCol w:w="499"/>
        <w:gridCol w:w="499"/>
        <w:gridCol w:w="517"/>
        <w:gridCol w:w="499"/>
        <w:gridCol w:w="499"/>
        <w:gridCol w:w="499"/>
        <w:gridCol w:w="499"/>
        <w:gridCol w:w="499"/>
        <w:gridCol w:w="7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6510" w:type="dxa"/>
            <w:gridSpan w:val="15"/>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财政拨款支出决算明细表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rPr>
                <w:rFonts w:hint="eastAsia"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财决公开05表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55"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部门：乐山市县街小学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2021年度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1515" w:type="dxa"/>
            <w:gridSpan w:val="4"/>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    目</w:t>
            </w:r>
          </w:p>
        </w:tc>
        <w:tc>
          <w:tcPr>
            <w:tcW w:w="0" w:type="auto"/>
            <w:vMerge w:val="restart"/>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行次</w:t>
            </w:r>
          </w:p>
        </w:tc>
        <w:tc>
          <w:tcPr>
            <w:tcW w:w="0" w:type="auto"/>
            <w:vMerge w:val="restart"/>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1575" w:type="dxa"/>
            <w:gridSpan w:val="3"/>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一般公共预算财政拨款</w:t>
            </w:r>
          </w:p>
        </w:tc>
        <w:tc>
          <w:tcPr>
            <w:tcW w:w="1140" w:type="dxa"/>
            <w:gridSpan w:val="3"/>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政府性基金预算财政拨款</w:t>
            </w:r>
          </w:p>
        </w:tc>
        <w:tc>
          <w:tcPr>
            <w:tcW w:w="1140" w:type="dxa"/>
            <w:gridSpan w:val="3"/>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570"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经济分类科目编码</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科目名称</w:t>
            </w:r>
          </w:p>
        </w:tc>
        <w:tc>
          <w:tcPr>
            <w:tcW w:w="0" w:type="auto"/>
            <w:vMerge w:val="continue"/>
            <w:tcBorders>
              <w:top w:val="single" w:color="000000" w:sz="4" w:space="0"/>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54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小计</w:t>
            </w:r>
          </w:p>
        </w:tc>
        <w:tc>
          <w:tcPr>
            <w:tcW w:w="57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基本支出</w:t>
            </w:r>
          </w:p>
        </w:tc>
        <w:tc>
          <w:tcPr>
            <w:tcW w:w="46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项目支出</w:t>
            </w:r>
          </w:p>
        </w:tc>
        <w:tc>
          <w:tcPr>
            <w:tcW w:w="31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小计</w:t>
            </w:r>
          </w:p>
        </w:tc>
        <w:tc>
          <w:tcPr>
            <w:tcW w:w="34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基本支出</w:t>
            </w:r>
          </w:p>
        </w:tc>
        <w:tc>
          <w:tcPr>
            <w:tcW w:w="48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项目支出</w:t>
            </w:r>
          </w:p>
        </w:tc>
        <w:tc>
          <w:tcPr>
            <w:tcW w:w="43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小计</w:t>
            </w:r>
          </w:p>
        </w:tc>
        <w:tc>
          <w:tcPr>
            <w:tcW w:w="28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基本支出</w:t>
            </w:r>
          </w:p>
        </w:tc>
        <w:tc>
          <w:tcPr>
            <w:tcW w:w="42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70" w:type="dxa"/>
            <w:gridSpan w:val="3"/>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2,306.44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2,306.44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2,113.99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192.45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301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工资福利支出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1,446.08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1,446.08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1,375.60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70.47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30101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基本工资</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594.60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594.60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594.60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30102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津贴补贴</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18.11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18.11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18.11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30103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奖金</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30106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伙食补助费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21.12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21.12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21.12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30107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绩效工资</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300.35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300.35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300.35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30108</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机关事业单位基本养老保险费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143.36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143.36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143.36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30109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职业年金缴费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85.71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85.71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85.71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30110</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职工基本医疗保险缴费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30111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公务员医疗补助缴费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30112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其他社会保障缴费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23.02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23.02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23.02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30113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住房公积金</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30114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医疗费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30199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其他工资福利支出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70.47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70.47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70.47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302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商品和服务支出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307.18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307.18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281.31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25.87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办公费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37.16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37.16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36.73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0.43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印刷费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1.16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3.83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咨询费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手续费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30205</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水费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5.48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5.48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5.48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电费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19.04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19.04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19.04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邮电费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3.53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3.53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3.53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30208</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取暖费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物业管理费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30211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差旅费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3.30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3.30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3.30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30212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因公出国（境）费用</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30213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维修（护）费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49.81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49.81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49.81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30214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租赁费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30215</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会议费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30216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培训费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6.62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6.62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4.79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30217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公务接待费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30218</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专用材料费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5.85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5.85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5.85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30224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被装购置费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30225</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专用燃料费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30226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劳务费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56.26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56.26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36.61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19.65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30227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委托业务费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30228</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工会经费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18.65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18.65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18.65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30229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福利费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27.80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27.80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27.80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30231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公务用车运行维护费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30239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其他交通费用</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30240</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税金及附加费用</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30299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其他商品和服务支出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60.20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60.20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60.07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0.13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303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对个人和家庭的补助</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442.47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442.47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440.47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离休费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退休费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退职（役）费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抚恤金</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30305</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生活补助</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1.51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1.51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1.51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救济费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医疗费补助</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30308</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助学金</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奖励金</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0.18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0.18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0.18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30310</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个人农业生产补贴</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30311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代缴社会保险费</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30399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其他个人和家庭的补助支出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435.85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435.85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433.85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307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债务利息及费用支出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30701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国内债务付息</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30702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国外债务付息</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30703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国内债务发行费用</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30704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国外债务发行费用</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309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资本性支出（基本建设）</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30901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房屋建筑物购建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30902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办公设备购置</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30903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专用设备购置</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30905</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基础设施建设</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30906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大型修缮</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30907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信息网络及软件购置更新</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30908</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物资储备</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30913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公务用车购置</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30919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其他交通工具购置</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30921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文物和陈列品购置</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30922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无形资产购置</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30999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其他基本建设支出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310</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资本性支出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110.73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110.73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16.62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94.11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31001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房屋建筑物购建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31002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办公设备购置</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3.42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3.42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3.42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31003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专用设备购置</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31005</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基础设施建设</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31006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大型修缮</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94.11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94.11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94.11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31007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信息网络及软件购置更新</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31008</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物资储备</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31009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土地补偿</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31010</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安置补助</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31011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地上附着物和青苗补偿</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31012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拆迁补偿</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31013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公务用车购置</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31019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其他交通工具购置</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31021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文物和陈列品购置</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31022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无形资产购置</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31099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其他资本性支出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11.44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11.44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11.44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311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对企业补助（基本建设）</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31101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资本金注入</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31199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其他对企业补助</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312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对企业补助</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31201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资本金注入</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31203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政府投资基金股权投资</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31204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费用补贴</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31205</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利息补贴</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312099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其他对企业补助</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313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对社会保障基金补助</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31302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对社会保险基金补助</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31303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补充全国社会保障基金</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31304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对机关事业单位职业年金的补助</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399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其他支出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39906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赠与</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39907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国家赔偿费用支出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39908</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对民间非营利组织和群众性自治组织补贴</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39999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其他支出</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9"/>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注：本表以“万元”为金额单位（保留两位小数），反映部门本年度财政拨款实际支出情况。</w:t>
            </w:r>
          </w:p>
        </w:tc>
        <w:tc>
          <w:tcPr>
            <w:tcW w:w="0" w:type="auto"/>
            <w:tcBorders>
              <w:top w:val="nil"/>
              <w:left w:val="nil"/>
              <w:bottom w:val="nil"/>
              <w:right w:val="nil"/>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nil"/>
              <w:right w:val="nil"/>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nil"/>
              <w:right w:val="nil"/>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nil"/>
              <w:right w:val="nil"/>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nil"/>
              <w:right w:val="nil"/>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nil"/>
              <w:right w:val="nil"/>
            </w:tcBorders>
            <w:shd w:val="clear" w:color="auto" w:fill="auto"/>
            <w:noWrap/>
            <w:vAlign w:val="center"/>
          </w:tcPr>
          <w:p>
            <w:pPr>
              <w:jc w:val="right"/>
              <w:rPr>
                <w:rFonts w:hint="eastAsia" w:ascii="宋体" w:hAnsi="宋体" w:eastAsia="宋体" w:cs="宋体"/>
                <w:i w:val="0"/>
                <w:iCs w:val="0"/>
                <w:color w:val="000000"/>
                <w:sz w:val="12"/>
                <w:szCs w:val="12"/>
                <w:u w:val="none"/>
              </w:rPr>
            </w:pPr>
          </w:p>
        </w:tc>
      </w:tr>
    </w:tbl>
    <w:p/>
    <w:p>
      <w:pPr>
        <w:pStyle w:val="2"/>
        <w:spacing w:before="93"/>
      </w:pPr>
    </w:p>
    <w:p>
      <w:pPr>
        <w:pStyle w:val="2"/>
        <w:spacing w:before="93"/>
      </w:pPr>
    </w:p>
    <w:p>
      <w:pPr>
        <w:pStyle w:val="4"/>
        <w:rPr>
          <w:rStyle w:val="26"/>
          <w:rFonts w:ascii="仿宋" w:hAnsi="仿宋" w:eastAsia="仿宋"/>
          <w:b/>
          <w:bCs w:val="0"/>
        </w:rPr>
      </w:pPr>
      <w:r>
        <w:rPr>
          <w:rStyle w:val="26"/>
          <w:rFonts w:hint="eastAsia" w:ascii="仿宋" w:hAnsi="仿宋" w:eastAsia="仿宋"/>
          <w:b/>
          <w:bCs w:val="0"/>
        </w:rPr>
        <w:t>六、</w:t>
      </w:r>
      <w:r>
        <w:rPr>
          <w:rFonts w:hint="eastAsia" w:ascii="仿宋" w:hAnsi="仿宋" w:eastAsia="仿宋"/>
          <w:b w:val="0"/>
        </w:rPr>
        <w:t>一</w:t>
      </w:r>
      <w:r>
        <w:rPr>
          <w:rStyle w:val="26"/>
          <w:rFonts w:hint="eastAsia" w:ascii="仿宋" w:hAnsi="仿宋" w:eastAsia="仿宋"/>
          <w:b/>
          <w:bCs w:val="0"/>
        </w:rPr>
        <w:t>般公共预算财政拨款支出决算表</w:t>
      </w:r>
      <w:bookmarkEnd w:id="57"/>
    </w:p>
    <w:tbl>
      <w:tblPr>
        <w:tblStyle w:val="13"/>
        <w:tblW w:w="504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16"/>
        <w:gridCol w:w="336"/>
        <w:gridCol w:w="2256"/>
        <w:gridCol w:w="726"/>
        <w:gridCol w:w="696"/>
        <w:gridCol w:w="10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005" w:type="dxa"/>
            <w:gridSpan w:val="6"/>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rPr>
                <w:rFonts w:hint="eastAsia"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财决公开06表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部门：乐山市县街小学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2021年度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735" w:type="dxa"/>
            <w:gridSpan w:val="2"/>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支出功能分类</w:t>
            </w:r>
          </w:p>
        </w:tc>
        <w:tc>
          <w:tcPr>
            <w:tcW w:w="123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科目名称</w:t>
            </w:r>
          </w:p>
        </w:tc>
        <w:tc>
          <w:tcPr>
            <w:tcW w:w="91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本年支出合计</w:t>
            </w:r>
          </w:p>
        </w:tc>
        <w:tc>
          <w:tcPr>
            <w:tcW w:w="112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基本支出</w:t>
            </w:r>
          </w:p>
        </w:tc>
        <w:tc>
          <w:tcPr>
            <w:tcW w:w="103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 w:hRule="atLeast"/>
        </w:trPr>
        <w:tc>
          <w:tcPr>
            <w:tcW w:w="735"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123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91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112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10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450" w:type="dxa"/>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类</w:t>
            </w:r>
          </w:p>
        </w:tc>
        <w:tc>
          <w:tcPr>
            <w:tcW w:w="285"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款</w:t>
            </w:r>
          </w:p>
        </w:tc>
        <w:tc>
          <w:tcPr>
            <w:tcW w:w="123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91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112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10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450" w:type="dxa"/>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28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123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2,306.44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2,113.99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192.45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教育支出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1,866.67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1,674.21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192.46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普通教育</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1,769.62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1,674.21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2050202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小学教育</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1,769.62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1,674.21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进修及培训</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2.94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2050801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教师进修</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2.94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教育费附加安排的支出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94.11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94.11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2050903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城市中小学校舍建设</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39.94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2050904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城市中小学教学设施</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54.17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54.17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社会保障和就业支出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250.46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250.46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行政事业单位养老支出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229.81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229.81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2080502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事业单位离退休</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0.18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0.18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2080505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机关事业单位基本养老保险缴费支出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143.36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143.36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2080506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机关事业单位职业年金缴费支出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85.71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85.71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2080599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其他行政事业单位养老支出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0.56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0.56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抚恤</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5.69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5.69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2080801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死亡抚恤</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2080899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其他优抚支出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0.77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0.77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20811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残疾人事业</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14.96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14.96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2081199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其他残疾人事业支出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14.96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14.96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卫生健康支出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21011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行政事业单位医疗</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2101102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事业单位医疗</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住房保障支出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22102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住房改革支出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2210201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  住房公积金</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注：本表以“万元”为金额单位（保留两位小数），反映部门本年度一般公共预算财政拨款实际支出情况。</w:t>
            </w:r>
          </w:p>
        </w:tc>
      </w:tr>
    </w:tbl>
    <w:p/>
    <w:p>
      <w:pPr>
        <w:pStyle w:val="2"/>
        <w:spacing w:before="93"/>
      </w:pPr>
    </w:p>
    <w:p>
      <w:pPr>
        <w:pStyle w:val="2"/>
        <w:spacing w:before="93"/>
      </w:pPr>
    </w:p>
    <w:p>
      <w:pPr>
        <w:rPr>
          <w:rStyle w:val="26"/>
          <w:rFonts w:ascii="仿宋" w:hAnsi="仿宋" w:eastAsia="仿宋"/>
          <w:bCs w:val="0"/>
        </w:rPr>
      </w:pPr>
      <w:bookmarkStart w:id="58" w:name="_Toc15396625"/>
      <w:r>
        <w:rPr>
          <w:rStyle w:val="26"/>
          <w:rFonts w:hint="eastAsia" w:ascii="仿宋" w:hAnsi="仿宋" w:eastAsia="仿宋"/>
          <w:bCs w:val="0"/>
        </w:rPr>
        <w:t>七、</w:t>
      </w:r>
      <w:r>
        <w:rPr>
          <w:rFonts w:hint="eastAsia" w:ascii="仿宋" w:hAnsi="仿宋" w:eastAsia="仿宋"/>
        </w:rPr>
        <w:t>一</w:t>
      </w:r>
      <w:r>
        <w:rPr>
          <w:rStyle w:val="26"/>
          <w:rFonts w:hint="eastAsia" w:ascii="仿宋" w:hAnsi="仿宋" w:eastAsia="仿宋"/>
          <w:bCs w:val="0"/>
        </w:rPr>
        <w:t>般公共预算财政拨款支出决算明细表</w:t>
      </w:r>
      <w:bookmarkEnd w:id="58"/>
    </w:p>
    <w:p>
      <w:pPr>
        <w:pStyle w:val="2"/>
        <w:spacing w:before="93"/>
        <w:rPr>
          <w:rStyle w:val="26"/>
          <w:rFonts w:hint="eastAsia" w:ascii="仿宋" w:hAnsi="仿宋" w:eastAsia="仿宋"/>
          <w:bCs w:val="0"/>
          <w:lang w:eastAsia="zh-CN"/>
        </w:rPr>
      </w:pPr>
      <w:r>
        <w:rPr>
          <w:rStyle w:val="26"/>
          <w:rFonts w:hint="eastAsia" w:ascii="仿宋" w:hAnsi="仿宋" w:eastAsia="仿宋"/>
          <w:bCs w:val="0"/>
          <w:lang w:eastAsia="zh-CN"/>
        </w:rPr>
        <w:drawing>
          <wp:inline distT="0" distB="0" distL="114300" distR="114300">
            <wp:extent cx="5271135" cy="2758440"/>
            <wp:effectExtent l="0" t="0" r="5715" b="3810"/>
            <wp:docPr id="7" name="图片 7" descr="16660009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66000934(1)"/>
                    <pic:cNvPicPr>
                      <a:picLocks noChangeAspect="1"/>
                    </pic:cNvPicPr>
                  </pic:nvPicPr>
                  <pic:blipFill>
                    <a:blip r:embed="rId13"/>
                    <a:stretch>
                      <a:fillRect/>
                    </a:stretch>
                  </pic:blipFill>
                  <pic:spPr>
                    <a:xfrm>
                      <a:off x="0" y="0"/>
                      <a:ext cx="5271135" cy="2758440"/>
                    </a:xfrm>
                    <a:prstGeom prst="rect">
                      <a:avLst/>
                    </a:prstGeom>
                  </pic:spPr>
                </pic:pic>
              </a:graphicData>
            </a:graphic>
          </wp:inline>
        </w:drawing>
      </w:r>
    </w:p>
    <w:p>
      <w:pPr>
        <w:pStyle w:val="2"/>
        <w:spacing w:before="93"/>
        <w:rPr>
          <w:rStyle w:val="26"/>
          <w:rFonts w:ascii="仿宋" w:hAnsi="仿宋" w:eastAsia="仿宋"/>
          <w:b w:val="0"/>
          <w:bCs w:val="0"/>
        </w:rPr>
      </w:pPr>
    </w:p>
    <w:p>
      <w:pPr>
        <w:pStyle w:val="2"/>
        <w:spacing w:before="93"/>
        <w:rPr>
          <w:rStyle w:val="26"/>
          <w:rFonts w:ascii="仿宋" w:hAnsi="仿宋" w:eastAsia="仿宋"/>
          <w:b w:val="0"/>
          <w:bCs w:val="0"/>
        </w:rPr>
      </w:pPr>
    </w:p>
    <w:p>
      <w:pPr>
        <w:pStyle w:val="2"/>
        <w:spacing w:before="93"/>
        <w:rPr>
          <w:rStyle w:val="26"/>
          <w:rFonts w:ascii="仿宋" w:hAnsi="仿宋" w:eastAsia="仿宋"/>
          <w:b w:val="0"/>
          <w:bCs w:val="0"/>
        </w:rPr>
      </w:pPr>
    </w:p>
    <w:p>
      <w:pPr>
        <w:pStyle w:val="2"/>
        <w:spacing w:before="93"/>
        <w:rPr>
          <w:rStyle w:val="26"/>
          <w:rFonts w:ascii="仿宋" w:hAnsi="仿宋" w:eastAsia="仿宋"/>
          <w:b w:val="0"/>
          <w:bCs w:val="0"/>
        </w:rPr>
      </w:pPr>
    </w:p>
    <w:p>
      <w:pPr>
        <w:pStyle w:val="4"/>
        <w:numPr>
          <w:ilvl w:val="0"/>
          <w:numId w:val="8"/>
        </w:numPr>
        <w:rPr>
          <w:b w:val="0"/>
        </w:rPr>
      </w:pPr>
      <w:bookmarkStart w:id="59" w:name="_Toc15396626"/>
      <w:r>
        <w:rPr>
          <w:rFonts w:hint="eastAsia" w:ascii="仿宋" w:hAnsi="仿宋" w:eastAsia="仿宋"/>
          <w:b w:val="0"/>
        </w:rPr>
        <w:t>一</w:t>
      </w:r>
      <w:r>
        <w:rPr>
          <w:rStyle w:val="26"/>
          <w:rFonts w:hint="eastAsia" w:ascii="仿宋" w:hAnsi="仿宋" w:eastAsia="仿宋"/>
          <w:b/>
          <w:bCs w:val="0"/>
        </w:rPr>
        <w:t>般公共预算财政拨款基本支出决算表</w:t>
      </w:r>
      <w:bookmarkEnd w:id="59"/>
    </w:p>
    <w:tbl>
      <w:tblPr>
        <w:tblStyle w:val="13"/>
        <w:tblW w:w="72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49"/>
        <w:gridCol w:w="1429"/>
        <w:gridCol w:w="589"/>
        <w:gridCol w:w="449"/>
        <w:gridCol w:w="1056"/>
        <w:gridCol w:w="496"/>
        <w:gridCol w:w="496"/>
        <w:gridCol w:w="1896"/>
        <w:gridCol w:w="8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7215" w:type="dxa"/>
            <w:gridSpan w:val="9"/>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一般公共预算财政拨款基本支出决算表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rPr>
                <w:rFonts w:hint="eastAsia"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财决公开08表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55"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部门：乐山市县街小学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253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人员经费</w:t>
            </w:r>
          </w:p>
        </w:tc>
        <w:tc>
          <w:tcPr>
            <w:tcW w:w="4680" w:type="dxa"/>
            <w:gridSpan w:val="6"/>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735" w:type="dxa"/>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科目编码</w:t>
            </w:r>
          </w:p>
        </w:tc>
        <w:tc>
          <w:tcPr>
            <w:tcW w:w="1125"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科目名称</w:t>
            </w:r>
          </w:p>
        </w:tc>
        <w:tc>
          <w:tcPr>
            <w:tcW w:w="675"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决算数</w:t>
            </w:r>
          </w:p>
        </w:tc>
        <w:tc>
          <w:tcPr>
            <w:tcW w:w="480"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科目编码</w:t>
            </w:r>
          </w:p>
        </w:tc>
        <w:tc>
          <w:tcPr>
            <w:tcW w:w="990"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科目名称</w:t>
            </w:r>
          </w:p>
        </w:tc>
        <w:tc>
          <w:tcPr>
            <w:tcW w:w="780"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决算数</w:t>
            </w:r>
          </w:p>
        </w:tc>
        <w:tc>
          <w:tcPr>
            <w:tcW w:w="735"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科目编码</w:t>
            </w:r>
          </w:p>
        </w:tc>
        <w:tc>
          <w:tcPr>
            <w:tcW w:w="1020"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科目名称</w:t>
            </w:r>
          </w:p>
        </w:tc>
        <w:tc>
          <w:tcPr>
            <w:tcW w:w="675"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735" w:type="dxa"/>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112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67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48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99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78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73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102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67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301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工资福利支出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1,375.60</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302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商品和服务支出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281.31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307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债务利息及费用支出</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30101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基本工资</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594.60</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办公费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36.73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30701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国内债务付息</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30102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津贴补贴</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18.11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印刷费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1.16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30702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国外债务付息</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30103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奖金</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咨询费</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30703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国内债务发行费用</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30106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伙食补助费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21.12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手续费</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30704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国外债务发行费用</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30107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绩效工资</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300.35</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30205</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水费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5.48</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310</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资本性支出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30108</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机关事业单位基本养老保险费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143.36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电费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19.04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31001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房屋建筑物购建</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30109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职业年金缴费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85.71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邮电费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3.53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31002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办公设备购置</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30110</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职工基本医疗保险缴费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55.46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30208</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取暖费</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31003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专用设备购置</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30111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公务员医疗补助缴费</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30209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物业管理费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31005</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基础设施建设</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30112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其他社会保障缴费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23.02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30211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差旅费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3.30</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31006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大型修缮</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30113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住房公积金</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133.87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30212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因公出国（境）费用</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31007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信息网络及软件购置更新</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30114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医疗费</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30213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维修（护）费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49.81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31008</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物资储备</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30199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其他工资福利支出</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30214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租赁费</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31009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土地补偿</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303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对个人和家庭的补助</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440.47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30215</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会议费</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31010</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安置补助</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离休费</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30216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培训费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4.79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31011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地上附着物和青苗补偿</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退休费</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30217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公务接待费</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31012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拆迁补偿</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退职（役）费</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30218</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专用材料费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5.85</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31013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公务用车购置</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抚恤金</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30224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被装购置费</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31019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其他交通工具购置</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30305</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生活补助</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1.51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30225</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专用燃料费</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31021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文物和陈列品购置</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救济费</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30226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劳务费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36.61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31022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无形资产购置</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医疗费补助</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30227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委托业务费</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31099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其他资本性支出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30308</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助学金</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30228</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工会经费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18.65</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312</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对企业补助</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30309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奖励金</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0.18</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30229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福利费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27.80</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31201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资本金注入</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30310</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个人农业生产补贴</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30231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公务用车运行维护费</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31203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政府投资基金股权投资</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30311</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代缴社会保险费</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30239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其他交通费用</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1.43</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31204</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费用补贴</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30399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其他个人和家庭的补助支出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433.85</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30240</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税金及附加费用</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31205</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利息补贴</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30299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其他商品和服务支出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60.07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312099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其他对企业补助</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399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其他支出</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39906</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赠与</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39907</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国家赔偿费用支出</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39908</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对民间非营利组织和群众性自治组织补贴</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39999</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其他支出</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2"/>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人员经费合计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1,816.07</w:t>
            </w:r>
          </w:p>
        </w:tc>
        <w:tc>
          <w:tcPr>
            <w:tcW w:w="0" w:type="auto"/>
            <w:gridSpan w:val="5"/>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公用经费合计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297.93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7215"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注：本表以“万元”为金额单位（保留两位小数），反映部门本年度一般公共预算财政拨款基本支出明细情况。</w:t>
            </w:r>
          </w:p>
        </w:tc>
      </w:tr>
    </w:tbl>
    <w:p/>
    <w:p>
      <w:pPr>
        <w:pStyle w:val="4"/>
        <w:numPr>
          <w:ilvl w:val="0"/>
          <w:numId w:val="8"/>
        </w:numPr>
        <w:rPr>
          <w:b w:val="0"/>
        </w:rPr>
      </w:pPr>
      <w:bookmarkStart w:id="60" w:name="_Toc15396627"/>
      <w:r>
        <w:rPr>
          <w:rFonts w:hint="eastAsia" w:ascii="仿宋" w:hAnsi="仿宋" w:eastAsia="仿宋"/>
          <w:b w:val="0"/>
        </w:rPr>
        <w:t>一</w:t>
      </w:r>
      <w:r>
        <w:rPr>
          <w:rStyle w:val="26"/>
          <w:rFonts w:hint="eastAsia" w:ascii="仿宋" w:hAnsi="仿宋" w:eastAsia="仿宋"/>
          <w:b/>
          <w:bCs w:val="0"/>
        </w:rPr>
        <w:t>般公共预算财政拨款项目支出决算表</w:t>
      </w:r>
      <w:bookmarkEnd w:id="60"/>
    </w:p>
    <w:tbl>
      <w:tblPr>
        <w:tblStyle w:val="13"/>
        <w:tblW w:w="498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16"/>
        <w:gridCol w:w="416"/>
        <w:gridCol w:w="416"/>
        <w:gridCol w:w="2216"/>
        <w:gridCol w:w="1066"/>
        <w:gridCol w:w="16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980" w:type="dxa"/>
            <w:gridSpan w:val="6"/>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一般公共预算财政拨款项目支出决算表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rPr>
                <w:rFonts w:hint="eastAsia"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55"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部门：乐山市县街小学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2021年度</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230"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117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96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w:t>
            </w:r>
          </w:p>
        </w:tc>
        <w:tc>
          <w:tcPr>
            <w:tcW w:w="162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230"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0"/>
                <w:szCs w:val="20"/>
                <w:u w:val="none"/>
              </w:rPr>
            </w:pPr>
          </w:p>
        </w:tc>
        <w:tc>
          <w:tcPr>
            <w:tcW w:w="117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0"/>
                <w:szCs w:val="20"/>
                <w:u w:val="none"/>
              </w:rPr>
            </w:pPr>
          </w:p>
        </w:tc>
        <w:tc>
          <w:tcPr>
            <w:tcW w:w="96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0"/>
                <w:szCs w:val="20"/>
                <w:u w:val="none"/>
              </w:rPr>
            </w:pPr>
          </w:p>
        </w:tc>
        <w:tc>
          <w:tcPr>
            <w:tcW w:w="162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90" w:type="dxa"/>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类</w:t>
            </w:r>
          </w:p>
        </w:tc>
        <w:tc>
          <w:tcPr>
            <w:tcW w:w="450"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款</w:t>
            </w:r>
          </w:p>
        </w:tc>
        <w:tc>
          <w:tcPr>
            <w:tcW w:w="390"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17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0"/>
                <w:szCs w:val="20"/>
                <w:u w:val="none"/>
              </w:rPr>
            </w:pPr>
          </w:p>
        </w:tc>
        <w:tc>
          <w:tcPr>
            <w:tcW w:w="96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0"/>
                <w:szCs w:val="20"/>
                <w:u w:val="none"/>
              </w:rPr>
            </w:pPr>
          </w:p>
        </w:tc>
        <w:tc>
          <w:tcPr>
            <w:tcW w:w="162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90" w:type="dxa"/>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0"/>
                <w:szCs w:val="20"/>
                <w:u w:val="none"/>
              </w:rPr>
            </w:pPr>
          </w:p>
        </w:tc>
        <w:tc>
          <w:tcPr>
            <w:tcW w:w="45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0"/>
                <w:szCs w:val="20"/>
                <w:u w:val="none"/>
              </w:rPr>
            </w:pPr>
          </w:p>
        </w:tc>
        <w:tc>
          <w:tcPr>
            <w:tcW w:w="39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0"/>
                <w:szCs w:val="20"/>
                <w:u w:val="none"/>
              </w:rPr>
            </w:pPr>
          </w:p>
        </w:tc>
        <w:tc>
          <w:tcPr>
            <w:tcW w:w="117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138.28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138.29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普通教育</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95.41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2050202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小学教育</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95.41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进修及培训</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2050801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教师进修</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教育费附加安排的支出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2050903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城市中小学校舍建设</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2050904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城市中小学教学设施</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498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注：本表以“万元”为金额单位（保留两位小数），反映部门本年度一般公共预算财政拨款项目支出收支明细情况。</w:t>
            </w:r>
          </w:p>
        </w:tc>
      </w:tr>
    </w:tbl>
    <w:p>
      <w:pPr>
        <w:rPr>
          <w:rStyle w:val="26"/>
          <w:rFonts w:ascii="仿宋" w:hAnsi="仿宋" w:eastAsia="仿宋"/>
          <w:b w:val="0"/>
          <w:bCs w:val="0"/>
        </w:rPr>
      </w:pPr>
    </w:p>
    <w:p>
      <w:pPr>
        <w:pStyle w:val="4"/>
        <w:numPr>
          <w:ilvl w:val="0"/>
          <w:numId w:val="8"/>
        </w:numPr>
        <w:rPr>
          <w:b w:val="0"/>
        </w:rPr>
      </w:pPr>
      <w:bookmarkStart w:id="61" w:name="_Toc15396628"/>
      <w:r>
        <w:rPr>
          <w:rFonts w:hint="eastAsia" w:ascii="仿宋" w:hAnsi="仿宋" w:eastAsia="仿宋"/>
          <w:b w:val="0"/>
        </w:rPr>
        <w:t>一</w:t>
      </w:r>
      <w:r>
        <w:rPr>
          <w:rStyle w:val="26"/>
          <w:rFonts w:hint="eastAsia" w:ascii="仿宋" w:hAnsi="仿宋" w:eastAsia="仿宋"/>
          <w:b/>
          <w:bCs w:val="0"/>
        </w:rPr>
        <w:t>般公共预算财政拨款“三公”经费支出决算表</w:t>
      </w:r>
      <w:bookmarkEnd w:id="61"/>
    </w:p>
    <w:tbl>
      <w:tblPr>
        <w:tblStyle w:val="13"/>
        <w:tblW w:w="68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16"/>
        <w:gridCol w:w="576"/>
        <w:gridCol w:w="456"/>
        <w:gridCol w:w="480"/>
        <w:gridCol w:w="480"/>
        <w:gridCol w:w="816"/>
        <w:gridCol w:w="726"/>
        <w:gridCol w:w="576"/>
        <w:gridCol w:w="456"/>
        <w:gridCol w:w="450"/>
        <w:gridCol w:w="510"/>
        <w:gridCol w:w="10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6825" w:type="dxa"/>
            <w:gridSpan w:val="12"/>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一般公共预算财政拨款“三公”经费支出决算表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rPr>
                <w:rFonts w:hint="eastAsia"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财决公开10表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55"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部门：乐山市县街小学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2021年度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 w:hRule="atLeast"/>
        </w:trPr>
        <w:tc>
          <w:tcPr>
            <w:tcW w:w="0" w:type="auto"/>
            <w:gridSpan w:val="6"/>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预算数</w:t>
            </w:r>
          </w:p>
        </w:tc>
        <w:tc>
          <w:tcPr>
            <w:tcW w:w="0" w:type="auto"/>
            <w:gridSpan w:val="6"/>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7" w:hRule="atLeast"/>
        </w:trPr>
        <w:tc>
          <w:tcPr>
            <w:tcW w:w="0" w:type="auto"/>
            <w:vMerge w:val="restar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630"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因公出国（境）费用</w:t>
            </w:r>
          </w:p>
        </w:tc>
        <w:tc>
          <w:tcPr>
            <w:tcW w:w="0" w:type="auto"/>
            <w:gridSpan w:val="3"/>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公务用车购置及运行费</w:t>
            </w:r>
          </w:p>
        </w:tc>
        <w:tc>
          <w:tcPr>
            <w:tcW w:w="0" w:type="auto"/>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公务接待费</w:t>
            </w:r>
          </w:p>
        </w:tc>
        <w:tc>
          <w:tcPr>
            <w:tcW w:w="0" w:type="auto"/>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555"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因公出国（境）费</w:t>
            </w:r>
          </w:p>
        </w:tc>
        <w:tc>
          <w:tcPr>
            <w:tcW w:w="0" w:type="auto"/>
            <w:gridSpan w:val="3"/>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公务用车购置及运行费</w:t>
            </w:r>
          </w:p>
        </w:tc>
        <w:tc>
          <w:tcPr>
            <w:tcW w:w="0" w:type="auto"/>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7" w:hRule="atLeast"/>
        </w:trPr>
        <w:tc>
          <w:tcPr>
            <w:tcW w:w="0" w:type="auto"/>
            <w:vMerge w:val="continue"/>
            <w:tcBorders>
              <w:top w:val="nil"/>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63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小计</w:t>
            </w:r>
          </w:p>
        </w:tc>
        <w:tc>
          <w:tcPr>
            <w:tcW w:w="48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公务用车购置费</w:t>
            </w:r>
          </w:p>
        </w:tc>
        <w:tc>
          <w:tcPr>
            <w:tcW w:w="51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公务用车运行费</w:t>
            </w:r>
          </w:p>
        </w:tc>
        <w:tc>
          <w:tcPr>
            <w:tcW w:w="0" w:type="auto"/>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c>
          <w:tcPr>
            <w:tcW w:w="55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小计</w:t>
            </w:r>
          </w:p>
        </w:tc>
        <w:tc>
          <w:tcPr>
            <w:tcW w:w="45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r>
              <w:rPr>
                <w:rFonts w:hint="eastAsia" w:ascii="宋体" w:hAnsi="宋体" w:eastAsia="宋体" w:cs="宋体"/>
                <w:i w:val="0"/>
                <w:iCs w:val="0"/>
                <w:color w:val="000000"/>
                <w:kern w:val="0"/>
                <w:sz w:val="12"/>
                <w:szCs w:val="12"/>
                <w:u w:val="none"/>
                <w:lang w:val="en-US" w:eastAsia="zh-CN" w:bidi="ar"/>
              </w:rPr>
              <w:t xml:space="preserve">公务用车 </w:t>
            </w:r>
          </w:p>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购置费</w:t>
            </w:r>
          </w:p>
        </w:tc>
        <w:tc>
          <w:tcPr>
            <w:tcW w:w="54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2"/>
                <w:szCs w:val="12"/>
                <w:u w:val="none"/>
                <w:lang w:val="en-US" w:eastAsia="zh-CN" w:bidi="ar"/>
              </w:rPr>
            </w:pPr>
            <w:r>
              <w:rPr>
                <w:rFonts w:hint="eastAsia" w:ascii="宋体" w:hAnsi="宋体" w:eastAsia="宋体" w:cs="宋体"/>
                <w:i w:val="0"/>
                <w:iCs w:val="0"/>
                <w:color w:val="000000"/>
                <w:kern w:val="0"/>
                <w:sz w:val="12"/>
                <w:szCs w:val="12"/>
                <w:u w:val="none"/>
                <w:lang w:val="en-US" w:eastAsia="zh-CN" w:bidi="ar"/>
              </w:rPr>
              <w:t xml:space="preserve">公务用车 </w:t>
            </w:r>
          </w:p>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运行费</w:t>
            </w:r>
          </w:p>
        </w:tc>
        <w:tc>
          <w:tcPr>
            <w:tcW w:w="0" w:type="auto"/>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0.50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0.50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6825"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注：本表已“万元”为金额单位（保留两位小数），反映部门本年度一般公共预算财政拨款“三公”经费支出预决算情况。其中，预算数为一般公共预算财政拨款“三公”经费全年预算数，反映按规定程序调整后的预算数；决算数是包括当年一般公共预算财政拨款和以前年度结转结余资金安排的实际支出；</w:t>
            </w:r>
          </w:p>
        </w:tc>
      </w:tr>
    </w:tbl>
    <w:p/>
    <w:p>
      <w:pPr>
        <w:pStyle w:val="4"/>
        <w:numPr>
          <w:ilvl w:val="0"/>
          <w:numId w:val="8"/>
        </w:numPr>
        <w:rPr>
          <w:b w:val="0"/>
        </w:rPr>
      </w:pPr>
      <w:bookmarkStart w:id="62" w:name="_Toc15396629"/>
      <w:r>
        <w:rPr>
          <w:rFonts w:hint="eastAsia" w:ascii="仿宋" w:hAnsi="仿宋" w:eastAsia="仿宋"/>
        </w:rPr>
        <w:t>政</w:t>
      </w:r>
      <w:r>
        <w:rPr>
          <w:rStyle w:val="26"/>
          <w:rFonts w:hint="eastAsia" w:ascii="仿宋" w:hAnsi="仿宋" w:eastAsia="仿宋"/>
          <w:b/>
          <w:bCs w:val="0"/>
        </w:rPr>
        <w:t>府性基金预算财政拨款收入支出决算表</w:t>
      </w:r>
      <w:bookmarkEnd w:id="62"/>
    </w:p>
    <w:tbl>
      <w:tblPr>
        <w:tblStyle w:val="13"/>
        <w:tblW w:w="64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51"/>
        <w:gridCol w:w="369"/>
        <w:gridCol w:w="369"/>
        <w:gridCol w:w="955"/>
        <w:gridCol w:w="685"/>
        <w:gridCol w:w="868"/>
        <w:gridCol w:w="671"/>
        <w:gridCol w:w="685"/>
        <w:gridCol w:w="786"/>
        <w:gridCol w:w="12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6420" w:type="dxa"/>
            <w:gridSpan w:val="10"/>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rPr>
                <w:rFonts w:hint="eastAsia"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财决公开11表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55"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部门：乐山市县街小学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2021年度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90"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科目编码</w:t>
            </w:r>
          </w:p>
        </w:tc>
        <w:tc>
          <w:tcPr>
            <w:tcW w:w="103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科目名称</w:t>
            </w:r>
          </w:p>
        </w:tc>
        <w:tc>
          <w:tcPr>
            <w:tcW w:w="70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年初结转和结余</w:t>
            </w:r>
          </w:p>
        </w:tc>
        <w:tc>
          <w:tcPr>
            <w:tcW w:w="67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本年收入</w:t>
            </w:r>
          </w:p>
        </w:tc>
        <w:tc>
          <w:tcPr>
            <w:tcW w:w="2205" w:type="dxa"/>
            <w:gridSpan w:val="3"/>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本年支出</w:t>
            </w:r>
          </w:p>
        </w:tc>
        <w:tc>
          <w:tcPr>
            <w:tcW w:w="81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90"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10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70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67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690"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合计</w:t>
            </w:r>
          </w:p>
        </w:tc>
        <w:tc>
          <w:tcPr>
            <w:tcW w:w="705"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基本支出</w:t>
            </w:r>
          </w:p>
        </w:tc>
        <w:tc>
          <w:tcPr>
            <w:tcW w:w="810"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项目支出</w:t>
            </w:r>
          </w:p>
        </w:tc>
        <w:tc>
          <w:tcPr>
            <w:tcW w:w="81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90"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10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70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67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69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70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81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81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0" w:type="dxa"/>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类</w:t>
            </w:r>
          </w:p>
        </w:tc>
        <w:tc>
          <w:tcPr>
            <w:tcW w:w="33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款</w:t>
            </w:r>
          </w:p>
        </w:tc>
        <w:tc>
          <w:tcPr>
            <w:tcW w:w="33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c>
          <w:tcPr>
            <w:tcW w:w="103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合计</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注：本表以“万元”为金额单位（保留两位小数），反映部门本年度政府性预算财政拨款收入、支出及结转和结余情况。</w:t>
            </w:r>
          </w:p>
        </w:tc>
      </w:tr>
    </w:tbl>
    <w:p/>
    <w:p>
      <w:pPr>
        <w:pStyle w:val="4"/>
        <w:numPr>
          <w:ilvl w:val="0"/>
          <w:numId w:val="8"/>
        </w:numPr>
        <w:rPr>
          <w:rStyle w:val="26"/>
          <w:rFonts w:ascii="仿宋" w:hAnsi="仿宋" w:eastAsia="仿宋"/>
          <w:b/>
          <w:bCs w:val="0"/>
        </w:rPr>
      </w:pPr>
      <w:bookmarkStart w:id="63" w:name="_Toc15396630"/>
      <w:r>
        <w:rPr>
          <w:rFonts w:hint="eastAsia" w:ascii="仿宋" w:hAnsi="仿宋" w:eastAsia="仿宋"/>
        </w:rPr>
        <w:t>政</w:t>
      </w:r>
      <w:r>
        <w:rPr>
          <w:rStyle w:val="26"/>
          <w:rFonts w:hint="eastAsia" w:ascii="仿宋" w:hAnsi="仿宋" w:eastAsia="仿宋"/>
          <w:b/>
          <w:bCs w:val="0"/>
        </w:rPr>
        <w:t>府性基金预算财政拨款“三公”经费支出决算表</w:t>
      </w:r>
      <w:bookmarkEnd w:id="63"/>
    </w:p>
    <w:tbl>
      <w:tblPr>
        <w:tblStyle w:val="13"/>
        <w:tblW w:w="72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20"/>
        <w:gridCol w:w="727"/>
        <w:gridCol w:w="386"/>
        <w:gridCol w:w="386"/>
        <w:gridCol w:w="386"/>
        <w:gridCol w:w="386"/>
        <w:gridCol w:w="940"/>
        <w:gridCol w:w="727"/>
        <w:gridCol w:w="387"/>
        <w:gridCol w:w="387"/>
        <w:gridCol w:w="387"/>
        <w:gridCol w:w="1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7275" w:type="dxa"/>
            <w:gridSpan w:val="12"/>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政府性基金预算财政拨款“三公”经费支出决算表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rPr>
                <w:rFonts w:hint="eastAsia"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财决公开12表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部门：乐山市县街小学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0" w:type="auto"/>
            <w:gridSpan w:val="6"/>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预算数</w:t>
            </w:r>
          </w:p>
        </w:tc>
        <w:tc>
          <w:tcPr>
            <w:tcW w:w="0" w:type="auto"/>
            <w:gridSpan w:val="6"/>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480" w:type="dxa"/>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615"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因公出国（境）费用</w:t>
            </w:r>
          </w:p>
        </w:tc>
        <w:tc>
          <w:tcPr>
            <w:tcW w:w="1800" w:type="dxa"/>
            <w:gridSpan w:val="3"/>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公务用车购置及运行费</w:t>
            </w:r>
          </w:p>
        </w:tc>
        <w:tc>
          <w:tcPr>
            <w:tcW w:w="435"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公务接待费</w:t>
            </w:r>
          </w:p>
        </w:tc>
        <w:tc>
          <w:tcPr>
            <w:tcW w:w="615"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690"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因公出国（境）费用</w:t>
            </w:r>
          </w:p>
        </w:tc>
        <w:tc>
          <w:tcPr>
            <w:tcW w:w="1695" w:type="dxa"/>
            <w:gridSpan w:val="3"/>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公务用车购置及运行费</w:t>
            </w:r>
          </w:p>
        </w:tc>
        <w:tc>
          <w:tcPr>
            <w:tcW w:w="945"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9" w:hRule="atLeast"/>
        </w:trPr>
        <w:tc>
          <w:tcPr>
            <w:tcW w:w="480" w:type="dxa"/>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61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76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w:t>
            </w:r>
          </w:p>
        </w:tc>
        <w:tc>
          <w:tcPr>
            <w:tcW w:w="43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公务用车购置费</w:t>
            </w:r>
          </w:p>
        </w:tc>
        <w:tc>
          <w:tcPr>
            <w:tcW w:w="60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公务用车运行费</w:t>
            </w:r>
          </w:p>
        </w:tc>
        <w:tc>
          <w:tcPr>
            <w:tcW w:w="43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61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49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w:t>
            </w:r>
          </w:p>
        </w:tc>
        <w:tc>
          <w:tcPr>
            <w:tcW w:w="63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公务用车购置费</w:t>
            </w:r>
          </w:p>
        </w:tc>
        <w:tc>
          <w:tcPr>
            <w:tcW w:w="57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公务用车运行费</w:t>
            </w:r>
          </w:p>
        </w:tc>
        <w:tc>
          <w:tcPr>
            <w:tcW w:w="94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7275"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本表已“万元”为金额单位（保留两位小数），反映部门本年度政府性基金预算财政拨款“三公”经费支出预决算情况。其中，预算数为政府性基金预算财政拨款“三公”经费全年预算数，反映按规定程序调整后的预算数；决算数是包括当年政府性基金预算财政拨款和以前年度结转结余资金安排的实际支出。</w:t>
            </w:r>
          </w:p>
        </w:tc>
      </w:tr>
    </w:tbl>
    <w:p/>
    <w:p>
      <w:pPr>
        <w:pStyle w:val="4"/>
        <w:numPr>
          <w:ilvl w:val="0"/>
          <w:numId w:val="8"/>
        </w:numPr>
        <w:rPr>
          <w:rStyle w:val="26"/>
          <w:rFonts w:ascii="仿宋" w:hAnsi="仿宋" w:eastAsia="仿宋"/>
          <w:b/>
          <w:bCs w:val="0"/>
        </w:rPr>
      </w:pPr>
      <w:bookmarkStart w:id="64" w:name="_Toc15396631"/>
      <w:r>
        <w:rPr>
          <w:rFonts w:hint="eastAsia" w:ascii="仿宋" w:hAnsi="仿宋" w:eastAsia="仿宋"/>
        </w:rPr>
        <w:t>国</w:t>
      </w:r>
      <w:r>
        <w:rPr>
          <w:rStyle w:val="26"/>
          <w:rFonts w:hint="eastAsia" w:ascii="仿宋" w:hAnsi="仿宋" w:eastAsia="仿宋"/>
          <w:b/>
          <w:bCs w:val="0"/>
        </w:rPr>
        <w:t>有资本经营预算财政拨款收入支出决算表</w:t>
      </w:r>
      <w:bookmarkEnd w:id="64"/>
    </w:p>
    <w:tbl>
      <w:tblPr>
        <w:tblStyle w:val="13"/>
        <w:tblW w:w="67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16"/>
        <w:gridCol w:w="390"/>
        <w:gridCol w:w="405"/>
        <w:gridCol w:w="791"/>
        <w:gridCol w:w="930"/>
        <w:gridCol w:w="778"/>
        <w:gridCol w:w="690"/>
        <w:gridCol w:w="13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6780" w:type="dxa"/>
            <w:gridSpan w:val="8"/>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国有资本经营预算财政拨款收入支出决算表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rPr>
                <w:rFonts w:hint="eastAsia"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财决公开13表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55"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部门：乐山市县街小学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2021年度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2"/>
                <w:szCs w:val="1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2430" w:type="dxa"/>
            <w:gridSpan w:val="4"/>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    目</w:t>
            </w:r>
          </w:p>
        </w:tc>
        <w:tc>
          <w:tcPr>
            <w:tcW w:w="93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年初结转和结余</w:t>
            </w:r>
          </w:p>
        </w:tc>
        <w:tc>
          <w:tcPr>
            <w:tcW w:w="117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本年收入</w:t>
            </w:r>
          </w:p>
        </w:tc>
        <w:tc>
          <w:tcPr>
            <w:tcW w:w="87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本年支出</w:t>
            </w:r>
          </w:p>
        </w:tc>
        <w:tc>
          <w:tcPr>
            <w:tcW w:w="138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215"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科目编码</w:t>
            </w:r>
          </w:p>
        </w:tc>
        <w:tc>
          <w:tcPr>
            <w:tcW w:w="1215"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科目名称</w:t>
            </w:r>
          </w:p>
        </w:tc>
        <w:tc>
          <w:tcPr>
            <w:tcW w:w="93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117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87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138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 w:hRule="atLeast"/>
        </w:trPr>
        <w:tc>
          <w:tcPr>
            <w:tcW w:w="1215" w:type="dxa"/>
            <w:gridSpan w:val="3"/>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121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93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117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87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138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1215" w:type="dxa"/>
            <w:gridSpan w:val="3"/>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121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93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117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87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c>
          <w:tcPr>
            <w:tcW w:w="138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420" w:type="dxa"/>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类</w:t>
            </w:r>
          </w:p>
        </w:tc>
        <w:tc>
          <w:tcPr>
            <w:tcW w:w="39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款</w:t>
            </w:r>
          </w:p>
        </w:tc>
        <w:tc>
          <w:tcPr>
            <w:tcW w:w="40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w:t>
            </w:r>
          </w:p>
        </w:tc>
        <w:tc>
          <w:tcPr>
            <w:tcW w:w="121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6780" w:type="dxa"/>
            <w:gridSpan w:val="8"/>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注：本表以“万元”为金额单位（保留两位小数），反映部门本年度国有资本经营预算财政拨款支出情况；</w:t>
            </w:r>
          </w:p>
        </w:tc>
      </w:tr>
    </w:tbl>
    <w:p/>
    <w:p>
      <w:pPr>
        <w:pStyle w:val="2"/>
        <w:spacing w:before="93"/>
      </w:pPr>
    </w:p>
    <w:p>
      <w:pPr>
        <w:numPr>
          <w:ilvl w:val="0"/>
          <w:numId w:val="8"/>
        </w:numPr>
        <w:rPr>
          <w:rStyle w:val="26"/>
          <w:rFonts w:ascii="仿宋" w:hAnsi="仿宋" w:eastAsia="仿宋"/>
          <w:bCs w:val="0"/>
        </w:rPr>
      </w:pPr>
      <w:r>
        <w:rPr>
          <w:rStyle w:val="26"/>
          <w:rFonts w:hint="eastAsia" w:ascii="仿宋" w:hAnsi="仿宋" w:eastAsia="仿宋"/>
          <w:bCs w:val="0"/>
        </w:rPr>
        <w:t>国有资本经营预算财政拨款支出决算表</w:t>
      </w:r>
    </w:p>
    <w:tbl>
      <w:tblPr>
        <w:tblStyle w:val="13"/>
        <w:tblW w:w="67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16"/>
        <w:gridCol w:w="390"/>
        <w:gridCol w:w="405"/>
        <w:gridCol w:w="716"/>
        <w:gridCol w:w="1268"/>
        <w:gridCol w:w="610"/>
        <w:gridCol w:w="15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6750" w:type="dxa"/>
            <w:gridSpan w:val="7"/>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rPr>
                <w:rFonts w:hint="eastAsia"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财决公开14表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55"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部门：乐山市县街小学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2021年度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6"/>
                <w:szCs w:val="16"/>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2865" w:type="dxa"/>
            <w:gridSpan w:val="4"/>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    目</w:t>
            </w:r>
          </w:p>
        </w:tc>
        <w:tc>
          <w:tcPr>
            <w:tcW w:w="3885" w:type="dxa"/>
            <w:gridSpan w:val="3"/>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215"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科目编码</w:t>
            </w:r>
          </w:p>
        </w:tc>
        <w:tc>
          <w:tcPr>
            <w:tcW w:w="1650"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科目名称</w:t>
            </w:r>
          </w:p>
        </w:tc>
        <w:tc>
          <w:tcPr>
            <w:tcW w:w="1320"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合计</w:t>
            </w:r>
          </w:p>
        </w:tc>
        <w:tc>
          <w:tcPr>
            <w:tcW w:w="1020"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基本支出</w:t>
            </w:r>
          </w:p>
        </w:tc>
        <w:tc>
          <w:tcPr>
            <w:tcW w:w="1545"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7" w:hRule="atLeast"/>
        </w:trPr>
        <w:tc>
          <w:tcPr>
            <w:tcW w:w="1215" w:type="dxa"/>
            <w:gridSpan w:val="3"/>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165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132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102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154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1215" w:type="dxa"/>
            <w:gridSpan w:val="3"/>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165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132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102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154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420" w:type="dxa"/>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类</w:t>
            </w:r>
          </w:p>
        </w:tc>
        <w:tc>
          <w:tcPr>
            <w:tcW w:w="39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款</w:t>
            </w:r>
          </w:p>
        </w:tc>
        <w:tc>
          <w:tcPr>
            <w:tcW w:w="40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c>
          <w:tcPr>
            <w:tcW w:w="165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合计</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0" w:type="dxa"/>
            <w:gridSpan w:val="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注：本表反映部门本年度国有资本经营预算财政拨款支出情况。</w:t>
            </w:r>
          </w:p>
        </w:tc>
      </w:tr>
    </w:tbl>
    <w:p>
      <w:pPr>
        <w:pStyle w:val="2"/>
        <w:spacing w:before="93"/>
      </w:pPr>
      <w:r>
        <w:drawing>
          <wp:inline distT="0" distB="0" distL="0" distR="0">
            <wp:extent cx="5274310" cy="2597150"/>
            <wp:effectExtent l="19050" t="0" r="2540" b="0"/>
            <wp:docPr id="58" name="图片 20" descr="D:\我的文档\文档\WeChat Files\wxid_cj7o6g6meelg22\FileStorage\Temp\16658376902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20" descr="D:\我的文档\文档\WeChat Files\wxid_cj7o6g6meelg22\FileStorage\Temp\1665837690260.png"/>
                    <pic:cNvPicPr>
                      <a:picLocks noChangeAspect="1" noChangeArrowheads="1"/>
                    </pic:cNvPicPr>
                  </pic:nvPicPr>
                  <pic:blipFill>
                    <a:blip r:embed="rId14"/>
                    <a:srcRect/>
                    <a:stretch>
                      <a:fillRect/>
                    </a:stretch>
                  </pic:blipFill>
                  <pic:spPr>
                    <a:xfrm>
                      <a:off x="0" y="0"/>
                      <a:ext cx="5274310" cy="2597598"/>
                    </a:xfrm>
                    <a:prstGeom prst="rect">
                      <a:avLst/>
                    </a:prstGeom>
                    <a:noFill/>
                    <a:ln w="9525">
                      <a:noFill/>
                      <a:miter lim="800000"/>
                      <a:headEnd/>
                      <a:tailEnd/>
                    </a:ln>
                  </pic:spPr>
                </pic:pic>
              </a:graphicData>
            </a:graphic>
          </wp:inline>
        </w:drawing>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8"/>
          <w:jc w:val="center"/>
        </w:pPr>
        <w:r>
          <w:fldChar w:fldCharType="begin"/>
        </w:r>
        <w:r>
          <w:instrText xml:space="preserve">PAGE   \* MERGEFORMAT</w:instrText>
        </w:r>
        <w:r>
          <w:fldChar w:fldCharType="separate"/>
        </w:r>
        <w:r>
          <w:rPr>
            <w:lang w:val="zh-CN"/>
          </w:rPr>
          <w:t>3</w:t>
        </w:r>
        <w:r>
          <w:rPr>
            <w:lang w:val="zh-CN"/>
          </w:rP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11143A5"/>
    <w:multiLevelType w:val="singleLevel"/>
    <w:tmpl w:val="D11143A5"/>
    <w:lvl w:ilvl="0" w:tentative="0">
      <w:start w:val="8"/>
      <w:numFmt w:val="chineseCounting"/>
      <w:suff w:val="nothing"/>
      <w:lvlText w:val="%1、"/>
      <w:lvlJc w:val="left"/>
      <w:rPr>
        <w:rFonts w:hint="eastAsia"/>
      </w:rPr>
    </w:lvl>
  </w:abstractNum>
  <w:abstractNum w:abstractNumId="2">
    <w:nsid w:val="E20AC39F"/>
    <w:multiLevelType w:val="singleLevel"/>
    <w:tmpl w:val="E20AC39F"/>
    <w:lvl w:ilvl="0" w:tentative="0">
      <w:start w:val="1"/>
      <w:numFmt w:val="decimal"/>
      <w:suff w:val="nothing"/>
      <w:lvlText w:val="（%1）"/>
      <w:lvlJc w:val="left"/>
      <w:rPr>
        <w:sz w:val="28"/>
        <w:szCs w:val="28"/>
      </w:rPr>
    </w:lvl>
  </w:abstractNum>
  <w:abstractNum w:abstractNumId="3">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6C4AFBFC"/>
    <w:multiLevelType w:val="singleLevel"/>
    <w:tmpl w:val="6C4AFBFC"/>
    <w:lvl w:ilvl="0" w:tentative="0">
      <w:start w:val="1"/>
      <w:numFmt w:val="decimal"/>
      <w:lvlText w:val="%1."/>
      <w:lvlJc w:val="left"/>
      <w:pPr>
        <w:tabs>
          <w:tab w:val="left" w:pos="312"/>
        </w:tabs>
      </w:pPr>
    </w:lvl>
  </w:abstractNum>
  <w:abstractNum w:abstractNumId="6">
    <w:nsid w:val="7EE55BF3"/>
    <w:multiLevelType w:val="multilevel"/>
    <w:tmpl w:val="7EE55BF3"/>
    <w:lvl w:ilvl="0" w:tentative="0">
      <w:start w:val="1"/>
      <w:numFmt w:val="chineseCountingThousand"/>
      <w:suff w:val="nothing"/>
      <w:lvlText w:val="（%1）"/>
      <w:lvlJc w:val="left"/>
      <w:pPr>
        <w:ind w:left="0" w:firstLine="635"/>
      </w:pPr>
      <w:rPr>
        <w:rFonts w:hint="eastAsia"/>
      </w:r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num w:numId="1">
    <w:abstractNumId w:val="4"/>
  </w:num>
  <w:num w:numId="2">
    <w:abstractNumId w:val="0"/>
  </w:num>
  <w:num w:numId="3">
    <w:abstractNumId w:val="5"/>
  </w:num>
  <w:num w:numId="4">
    <w:abstractNumId w:val="2"/>
  </w:num>
  <w:num w:numId="5">
    <w:abstractNumId w:val="3"/>
  </w:num>
  <w:num w:numId="6">
    <w:abstractNumId w:val="6"/>
    <w:lvlOverride w:ilvl="0">
      <w:startOverride w:val="1"/>
    </w:lvlOverride>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2MyNDdkYzI2NWNhNTFkMGUyODZiY2JiMGEyYmZlYTgifQ=="/>
  </w:docVars>
  <w:rsids>
    <w:rsidRoot w:val="00F1361C"/>
    <w:rsid w:val="000008FA"/>
    <w:rsid w:val="000222C6"/>
    <w:rsid w:val="0002549F"/>
    <w:rsid w:val="0003065F"/>
    <w:rsid w:val="00030924"/>
    <w:rsid w:val="00037703"/>
    <w:rsid w:val="00043043"/>
    <w:rsid w:val="000468DB"/>
    <w:rsid w:val="000641A5"/>
    <w:rsid w:val="0006487A"/>
    <w:rsid w:val="00065F8F"/>
    <w:rsid w:val="00070A43"/>
    <w:rsid w:val="000768F2"/>
    <w:rsid w:val="00080C2C"/>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17E6D"/>
    <w:rsid w:val="00123F54"/>
    <w:rsid w:val="00142216"/>
    <w:rsid w:val="00144D6A"/>
    <w:rsid w:val="0014729F"/>
    <w:rsid w:val="001539BE"/>
    <w:rsid w:val="00157BAB"/>
    <w:rsid w:val="001654D1"/>
    <w:rsid w:val="00174518"/>
    <w:rsid w:val="00174E20"/>
    <w:rsid w:val="0018106D"/>
    <w:rsid w:val="001877A7"/>
    <w:rsid w:val="00191536"/>
    <w:rsid w:val="00196687"/>
    <w:rsid w:val="001C0962"/>
    <w:rsid w:val="001D661F"/>
    <w:rsid w:val="001D7531"/>
    <w:rsid w:val="001E737D"/>
    <w:rsid w:val="001F0592"/>
    <w:rsid w:val="001F7506"/>
    <w:rsid w:val="002006CD"/>
    <w:rsid w:val="00202B36"/>
    <w:rsid w:val="00204B7A"/>
    <w:rsid w:val="00204CDE"/>
    <w:rsid w:val="0021101A"/>
    <w:rsid w:val="00220536"/>
    <w:rsid w:val="00233FF4"/>
    <w:rsid w:val="00235629"/>
    <w:rsid w:val="00260C38"/>
    <w:rsid w:val="002616C0"/>
    <w:rsid w:val="00265372"/>
    <w:rsid w:val="002662AA"/>
    <w:rsid w:val="00280496"/>
    <w:rsid w:val="00294DC9"/>
    <w:rsid w:val="00295495"/>
    <w:rsid w:val="002A31DE"/>
    <w:rsid w:val="002B2613"/>
    <w:rsid w:val="002B3C34"/>
    <w:rsid w:val="002C26CB"/>
    <w:rsid w:val="002C704C"/>
    <w:rsid w:val="002D6D05"/>
    <w:rsid w:val="002E4BE7"/>
    <w:rsid w:val="002F1818"/>
    <w:rsid w:val="002F567B"/>
    <w:rsid w:val="003216A9"/>
    <w:rsid w:val="00335A74"/>
    <w:rsid w:val="0036561B"/>
    <w:rsid w:val="0037013F"/>
    <w:rsid w:val="00380C92"/>
    <w:rsid w:val="00384DA0"/>
    <w:rsid w:val="00392D20"/>
    <w:rsid w:val="003A484F"/>
    <w:rsid w:val="003A4883"/>
    <w:rsid w:val="003B0BE0"/>
    <w:rsid w:val="003B0C1B"/>
    <w:rsid w:val="003B52D1"/>
    <w:rsid w:val="003B688C"/>
    <w:rsid w:val="003C0291"/>
    <w:rsid w:val="003C22EC"/>
    <w:rsid w:val="003C39AE"/>
    <w:rsid w:val="003C7B60"/>
    <w:rsid w:val="003D0C0F"/>
    <w:rsid w:val="003D1FB2"/>
    <w:rsid w:val="003D66DA"/>
    <w:rsid w:val="003E1310"/>
    <w:rsid w:val="003E5CB4"/>
    <w:rsid w:val="003E6F55"/>
    <w:rsid w:val="00406254"/>
    <w:rsid w:val="004223DE"/>
    <w:rsid w:val="004270DD"/>
    <w:rsid w:val="00434489"/>
    <w:rsid w:val="00437085"/>
    <w:rsid w:val="00443880"/>
    <w:rsid w:val="004450A6"/>
    <w:rsid w:val="004464F4"/>
    <w:rsid w:val="00467560"/>
    <w:rsid w:val="00471401"/>
    <w:rsid w:val="00473F31"/>
    <w:rsid w:val="00475077"/>
    <w:rsid w:val="00481AB7"/>
    <w:rsid w:val="0048263A"/>
    <w:rsid w:val="004848A9"/>
    <w:rsid w:val="00487E5D"/>
    <w:rsid w:val="004A711F"/>
    <w:rsid w:val="004B199D"/>
    <w:rsid w:val="004B1F47"/>
    <w:rsid w:val="004B2241"/>
    <w:rsid w:val="004B4690"/>
    <w:rsid w:val="004D3015"/>
    <w:rsid w:val="004E0A2D"/>
    <w:rsid w:val="004E206B"/>
    <w:rsid w:val="004E6DF7"/>
    <w:rsid w:val="004F0FBD"/>
    <w:rsid w:val="00500652"/>
    <w:rsid w:val="00505A47"/>
    <w:rsid w:val="00512FDA"/>
    <w:rsid w:val="00520DA0"/>
    <w:rsid w:val="0052333A"/>
    <w:rsid w:val="0054417D"/>
    <w:rsid w:val="005664BB"/>
    <w:rsid w:val="00566FFA"/>
    <w:rsid w:val="0057481D"/>
    <w:rsid w:val="0058486E"/>
    <w:rsid w:val="00585B33"/>
    <w:rsid w:val="0059014D"/>
    <w:rsid w:val="005B5C64"/>
    <w:rsid w:val="005C3691"/>
    <w:rsid w:val="005C5337"/>
    <w:rsid w:val="005C6BD0"/>
    <w:rsid w:val="005D0CC6"/>
    <w:rsid w:val="005D1C8B"/>
    <w:rsid w:val="005D468D"/>
    <w:rsid w:val="005D5CED"/>
    <w:rsid w:val="005F1A4C"/>
    <w:rsid w:val="00603F8E"/>
    <w:rsid w:val="00605688"/>
    <w:rsid w:val="006070AF"/>
    <w:rsid w:val="00607E6C"/>
    <w:rsid w:val="006101B1"/>
    <w:rsid w:val="00610C50"/>
    <w:rsid w:val="00614E44"/>
    <w:rsid w:val="0062270A"/>
    <w:rsid w:val="00622830"/>
    <w:rsid w:val="00623DA0"/>
    <w:rsid w:val="00630AEF"/>
    <w:rsid w:val="006325F8"/>
    <w:rsid w:val="00633463"/>
    <w:rsid w:val="00634C9A"/>
    <w:rsid w:val="006366CD"/>
    <w:rsid w:val="006440E4"/>
    <w:rsid w:val="0065592E"/>
    <w:rsid w:val="0066343B"/>
    <w:rsid w:val="00664777"/>
    <w:rsid w:val="00664AC1"/>
    <w:rsid w:val="006748A4"/>
    <w:rsid w:val="006803BB"/>
    <w:rsid w:val="00681A31"/>
    <w:rsid w:val="00683E73"/>
    <w:rsid w:val="00694490"/>
    <w:rsid w:val="00694B75"/>
    <w:rsid w:val="006A3141"/>
    <w:rsid w:val="006A5E34"/>
    <w:rsid w:val="006B2422"/>
    <w:rsid w:val="006B2B9A"/>
    <w:rsid w:val="006C1937"/>
    <w:rsid w:val="006E789C"/>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3A37"/>
    <w:rsid w:val="007D1682"/>
    <w:rsid w:val="007D312A"/>
    <w:rsid w:val="007D3F19"/>
    <w:rsid w:val="007E23B0"/>
    <w:rsid w:val="007E23E5"/>
    <w:rsid w:val="007E6A2A"/>
    <w:rsid w:val="007E7062"/>
    <w:rsid w:val="007F1991"/>
    <w:rsid w:val="007F2C2F"/>
    <w:rsid w:val="007F55FC"/>
    <w:rsid w:val="007F5665"/>
    <w:rsid w:val="007F6560"/>
    <w:rsid w:val="00800112"/>
    <w:rsid w:val="00803CAA"/>
    <w:rsid w:val="0080584F"/>
    <w:rsid w:val="00813348"/>
    <w:rsid w:val="00817EA7"/>
    <w:rsid w:val="00820DA6"/>
    <w:rsid w:val="008253BB"/>
    <w:rsid w:val="00834D06"/>
    <w:rsid w:val="0083706E"/>
    <w:rsid w:val="008408F6"/>
    <w:rsid w:val="008423A5"/>
    <w:rsid w:val="00850625"/>
    <w:rsid w:val="00853718"/>
    <w:rsid w:val="00855221"/>
    <w:rsid w:val="00860645"/>
    <w:rsid w:val="008609F9"/>
    <w:rsid w:val="00871F71"/>
    <w:rsid w:val="00872FD8"/>
    <w:rsid w:val="00885AF4"/>
    <w:rsid w:val="008939CD"/>
    <w:rsid w:val="008B768C"/>
    <w:rsid w:val="008C4DB1"/>
    <w:rsid w:val="008C4EAF"/>
    <w:rsid w:val="008C5176"/>
    <w:rsid w:val="008C7FD0"/>
    <w:rsid w:val="008E1DE7"/>
    <w:rsid w:val="008E707C"/>
    <w:rsid w:val="008F4605"/>
    <w:rsid w:val="00900B08"/>
    <w:rsid w:val="00902155"/>
    <w:rsid w:val="00902FA3"/>
    <w:rsid w:val="00923564"/>
    <w:rsid w:val="0092392E"/>
    <w:rsid w:val="0092549F"/>
    <w:rsid w:val="009315F9"/>
    <w:rsid w:val="00933499"/>
    <w:rsid w:val="00935C98"/>
    <w:rsid w:val="00946945"/>
    <w:rsid w:val="00951248"/>
    <w:rsid w:val="0095152F"/>
    <w:rsid w:val="00954C49"/>
    <w:rsid w:val="00955E37"/>
    <w:rsid w:val="0097099F"/>
    <w:rsid w:val="00971997"/>
    <w:rsid w:val="00971FFC"/>
    <w:rsid w:val="009731B3"/>
    <w:rsid w:val="0098660A"/>
    <w:rsid w:val="009931C3"/>
    <w:rsid w:val="009A2591"/>
    <w:rsid w:val="009B2C43"/>
    <w:rsid w:val="009B4EAE"/>
    <w:rsid w:val="009B7573"/>
    <w:rsid w:val="009C22F4"/>
    <w:rsid w:val="009C2A4B"/>
    <w:rsid w:val="009C2E98"/>
    <w:rsid w:val="009C705F"/>
    <w:rsid w:val="009D3447"/>
    <w:rsid w:val="009D4711"/>
    <w:rsid w:val="009D62B0"/>
    <w:rsid w:val="009E53C4"/>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57CE8"/>
    <w:rsid w:val="00A6523D"/>
    <w:rsid w:val="00A673BD"/>
    <w:rsid w:val="00A67AB5"/>
    <w:rsid w:val="00A733B2"/>
    <w:rsid w:val="00A741C2"/>
    <w:rsid w:val="00A774A1"/>
    <w:rsid w:val="00A81981"/>
    <w:rsid w:val="00A850A5"/>
    <w:rsid w:val="00A91760"/>
    <w:rsid w:val="00A917D9"/>
    <w:rsid w:val="00A93B00"/>
    <w:rsid w:val="00A93C21"/>
    <w:rsid w:val="00AB64C9"/>
    <w:rsid w:val="00AC3C6A"/>
    <w:rsid w:val="00AD5620"/>
    <w:rsid w:val="00AD656B"/>
    <w:rsid w:val="00AD7C1B"/>
    <w:rsid w:val="00AE16BA"/>
    <w:rsid w:val="00AE1EBE"/>
    <w:rsid w:val="00AE7B68"/>
    <w:rsid w:val="00B03238"/>
    <w:rsid w:val="00B03C9D"/>
    <w:rsid w:val="00B060AE"/>
    <w:rsid w:val="00B10517"/>
    <w:rsid w:val="00B14E76"/>
    <w:rsid w:val="00B161B8"/>
    <w:rsid w:val="00B2048C"/>
    <w:rsid w:val="00B310B9"/>
    <w:rsid w:val="00B33C1B"/>
    <w:rsid w:val="00B35F3F"/>
    <w:rsid w:val="00B36CBB"/>
    <w:rsid w:val="00B37E09"/>
    <w:rsid w:val="00B425E0"/>
    <w:rsid w:val="00B440AA"/>
    <w:rsid w:val="00B44B70"/>
    <w:rsid w:val="00B53C56"/>
    <w:rsid w:val="00B57DAF"/>
    <w:rsid w:val="00B65876"/>
    <w:rsid w:val="00B77EA6"/>
    <w:rsid w:val="00B81598"/>
    <w:rsid w:val="00B841F1"/>
    <w:rsid w:val="00B944D6"/>
    <w:rsid w:val="00BA495C"/>
    <w:rsid w:val="00BB4DF0"/>
    <w:rsid w:val="00BC289F"/>
    <w:rsid w:val="00BC2D50"/>
    <w:rsid w:val="00BC5361"/>
    <w:rsid w:val="00BC5460"/>
    <w:rsid w:val="00BC561E"/>
    <w:rsid w:val="00BC6B50"/>
    <w:rsid w:val="00BD0E25"/>
    <w:rsid w:val="00BD7E5E"/>
    <w:rsid w:val="00BF5BD6"/>
    <w:rsid w:val="00C03E31"/>
    <w:rsid w:val="00C1268F"/>
    <w:rsid w:val="00C33E72"/>
    <w:rsid w:val="00C354B2"/>
    <w:rsid w:val="00C35554"/>
    <w:rsid w:val="00C42709"/>
    <w:rsid w:val="00C47156"/>
    <w:rsid w:val="00C533CC"/>
    <w:rsid w:val="00C5751C"/>
    <w:rsid w:val="00C61BFC"/>
    <w:rsid w:val="00C62B85"/>
    <w:rsid w:val="00C65438"/>
    <w:rsid w:val="00C65748"/>
    <w:rsid w:val="00C87FD8"/>
    <w:rsid w:val="00C91381"/>
    <w:rsid w:val="00C91CBB"/>
    <w:rsid w:val="00CA6A66"/>
    <w:rsid w:val="00CB4E70"/>
    <w:rsid w:val="00CC09B6"/>
    <w:rsid w:val="00CC0A62"/>
    <w:rsid w:val="00CC666F"/>
    <w:rsid w:val="00CD1E3F"/>
    <w:rsid w:val="00CE44F6"/>
    <w:rsid w:val="00CE49DA"/>
    <w:rsid w:val="00CE71B5"/>
    <w:rsid w:val="00CE7B61"/>
    <w:rsid w:val="00CF13E3"/>
    <w:rsid w:val="00CF4F4A"/>
    <w:rsid w:val="00CF58DC"/>
    <w:rsid w:val="00D00095"/>
    <w:rsid w:val="00D04575"/>
    <w:rsid w:val="00D114F0"/>
    <w:rsid w:val="00D20620"/>
    <w:rsid w:val="00D254F7"/>
    <w:rsid w:val="00D26091"/>
    <w:rsid w:val="00D2685C"/>
    <w:rsid w:val="00D34E7C"/>
    <w:rsid w:val="00D35489"/>
    <w:rsid w:val="00D36AFE"/>
    <w:rsid w:val="00D45AAF"/>
    <w:rsid w:val="00D51276"/>
    <w:rsid w:val="00D520B8"/>
    <w:rsid w:val="00D61004"/>
    <w:rsid w:val="00D61B18"/>
    <w:rsid w:val="00D64E32"/>
    <w:rsid w:val="00D7035F"/>
    <w:rsid w:val="00DA4998"/>
    <w:rsid w:val="00DA634F"/>
    <w:rsid w:val="00DA65AC"/>
    <w:rsid w:val="00DB1913"/>
    <w:rsid w:val="00DB6D64"/>
    <w:rsid w:val="00DC410D"/>
    <w:rsid w:val="00DC5A81"/>
    <w:rsid w:val="00DC68CA"/>
    <w:rsid w:val="00DC7CBA"/>
    <w:rsid w:val="00DD2F01"/>
    <w:rsid w:val="00DD73B7"/>
    <w:rsid w:val="00DE4963"/>
    <w:rsid w:val="00DE4CAB"/>
    <w:rsid w:val="00DF28BC"/>
    <w:rsid w:val="00DF34B9"/>
    <w:rsid w:val="00DF735D"/>
    <w:rsid w:val="00E01053"/>
    <w:rsid w:val="00E0310B"/>
    <w:rsid w:val="00E07ACF"/>
    <w:rsid w:val="00E1511A"/>
    <w:rsid w:val="00E15CCF"/>
    <w:rsid w:val="00E243BA"/>
    <w:rsid w:val="00E331A1"/>
    <w:rsid w:val="00E33202"/>
    <w:rsid w:val="00E336A9"/>
    <w:rsid w:val="00E472B1"/>
    <w:rsid w:val="00E50624"/>
    <w:rsid w:val="00E568DF"/>
    <w:rsid w:val="00E64269"/>
    <w:rsid w:val="00E6455C"/>
    <w:rsid w:val="00E73F8D"/>
    <w:rsid w:val="00E8034B"/>
    <w:rsid w:val="00E82267"/>
    <w:rsid w:val="00E853CE"/>
    <w:rsid w:val="00E867B6"/>
    <w:rsid w:val="00EA010F"/>
    <w:rsid w:val="00EA4917"/>
    <w:rsid w:val="00EB3568"/>
    <w:rsid w:val="00EC211A"/>
    <w:rsid w:val="00EC25B9"/>
    <w:rsid w:val="00ED1B63"/>
    <w:rsid w:val="00ED3C1F"/>
    <w:rsid w:val="00ED4085"/>
    <w:rsid w:val="00ED420E"/>
    <w:rsid w:val="00ED6FBE"/>
    <w:rsid w:val="00EE2F57"/>
    <w:rsid w:val="00EF4C34"/>
    <w:rsid w:val="00EF77C6"/>
    <w:rsid w:val="00F015A3"/>
    <w:rsid w:val="00F03726"/>
    <w:rsid w:val="00F05438"/>
    <w:rsid w:val="00F07AC4"/>
    <w:rsid w:val="00F1361C"/>
    <w:rsid w:val="00F156F0"/>
    <w:rsid w:val="00F160C7"/>
    <w:rsid w:val="00F2408F"/>
    <w:rsid w:val="00F240E9"/>
    <w:rsid w:val="00F36D8F"/>
    <w:rsid w:val="00F37C6E"/>
    <w:rsid w:val="00F417B1"/>
    <w:rsid w:val="00F45853"/>
    <w:rsid w:val="00F5340E"/>
    <w:rsid w:val="00F602DF"/>
    <w:rsid w:val="00F61F5C"/>
    <w:rsid w:val="00F754A1"/>
    <w:rsid w:val="00F81FD9"/>
    <w:rsid w:val="00F841AA"/>
    <w:rsid w:val="00F84A94"/>
    <w:rsid w:val="00F87E96"/>
    <w:rsid w:val="00F97F47"/>
    <w:rsid w:val="00FA23E8"/>
    <w:rsid w:val="00FA7CE4"/>
    <w:rsid w:val="00FD3CC1"/>
    <w:rsid w:val="00FF1E02"/>
    <w:rsid w:val="00FF30B4"/>
    <w:rsid w:val="02DC3F04"/>
    <w:rsid w:val="032A2EC2"/>
    <w:rsid w:val="03577A2F"/>
    <w:rsid w:val="057935D6"/>
    <w:rsid w:val="0A2032A3"/>
    <w:rsid w:val="0A762E91"/>
    <w:rsid w:val="0B1306DF"/>
    <w:rsid w:val="0B8A37D8"/>
    <w:rsid w:val="10AA6D86"/>
    <w:rsid w:val="10C055FF"/>
    <w:rsid w:val="114A0E55"/>
    <w:rsid w:val="118107EC"/>
    <w:rsid w:val="11DD6519"/>
    <w:rsid w:val="15194B44"/>
    <w:rsid w:val="166B5873"/>
    <w:rsid w:val="16BB723D"/>
    <w:rsid w:val="18015F3F"/>
    <w:rsid w:val="192823F8"/>
    <w:rsid w:val="193E101D"/>
    <w:rsid w:val="1AFE6CB6"/>
    <w:rsid w:val="1BE8440E"/>
    <w:rsid w:val="1D155CEE"/>
    <w:rsid w:val="1E256308"/>
    <w:rsid w:val="1E911BEF"/>
    <w:rsid w:val="20F57F95"/>
    <w:rsid w:val="240371BF"/>
    <w:rsid w:val="25C741E6"/>
    <w:rsid w:val="27842671"/>
    <w:rsid w:val="29FD04D3"/>
    <w:rsid w:val="2ABE7A3E"/>
    <w:rsid w:val="2B4D67FB"/>
    <w:rsid w:val="2C163734"/>
    <w:rsid w:val="2EFA178C"/>
    <w:rsid w:val="30907F59"/>
    <w:rsid w:val="30B46D73"/>
    <w:rsid w:val="319F7F4E"/>
    <w:rsid w:val="31C75BFC"/>
    <w:rsid w:val="34FA1BB0"/>
    <w:rsid w:val="357E0CC8"/>
    <w:rsid w:val="39AE70AB"/>
    <w:rsid w:val="3BFF2436"/>
    <w:rsid w:val="3C0C0783"/>
    <w:rsid w:val="3D7D1865"/>
    <w:rsid w:val="3F9F3A96"/>
    <w:rsid w:val="43AA712C"/>
    <w:rsid w:val="44894F93"/>
    <w:rsid w:val="459818D4"/>
    <w:rsid w:val="46401681"/>
    <w:rsid w:val="493C27E9"/>
    <w:rsid w:val="496F39ED"/>
    <w:rsid w:val="498F4DFA"/>
    <w:rsid w:val="49FF41D3"/>
    <w:rsid w:val="4A525E27"/>
    <w:rsid w:val="4BE068DB"/>
    <w:rsid w:val="4BF6002B"/>
    <w:rsid w:val="4ECE2238"/>
    <w:rsid w:val="51DB4B86"/>
    <w:rsid w:val="523227C6"/>
    <w:rsid w:val="52FC4B82"/>
    <w:rsid w:val="55333C3E"/>
    <w:rsid w:val="5A1E1882"/>
    <w:rsid w:val="5BFB00CD"/>
    <w:rsid w:val="5E1E00A2"/>
    <w:rsid w:val="5F2E6A0B"/>
    <w:rsid w:val="63116428"/>
    <w:rsid w:val="64CA39A1"/>
    <w:rsid w:val="64E04304"/>
    <w:rsid w:val="672C7CD4"/>
    <w:rsid w:val="6A935974"/>
    <w:rsid w:val="6C4A05C8"/>
    <w:rsid w:val="6FC879A0"/>
    <w:rsid w:val="70147557"/>
    <w:rsid w:val="72734D90"/>
    <w:rsid w:val="72822E9E"/>
    <w:rsid w:val="74CB0B2C"/>
    <w:rsid w:val="760D0CD1"/>
    <w:rsid w:val="76790114"/>
    <w:rsid w:val="76872831"/>
    <w:rsid w:val="79E7B28D"/>
    <w:rsid w:val="7B615D46"/>
    <w:rsid w:val="7C0412D0"/>
    <w:rsid w:val="7D4274B2"/>
    <w:rsid w:val="7F9F20EE"/>
    <w:rsid w:val="9E3A10E2"/>
    <w:rsid w:val="F2E1F9D4"/>
    <w:rsid w:val="F788081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2"/>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0"/>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semiHidden/>
    <w:qFormat/>
    <w:uiPriority w:val="99"/>
    <w:rPr>
      <w:rFonts w:ascii="Times New Roman" w:hAnsi="Times New Roman"/>
      <w:sz w:val="18"/>
      <w:szCs w:val="18"/>
    </w:rPr>
  </w:style>
  <w:style w:type="character" w:customStyle="1" w:styleId="18">
    <w:name w:val="页眉 Char"/>
    <w:link w:val="9"/>
    <w:semiHidden/>
    <w:qFormat/>
    <w:locked/>
    <w:uiPriority w:val="99"/>
    <w:rPr>
      <w:sz w:val="18"/>
    </w:rPr>
  </w:style>
  <w:style w:type="character" w:customStyle="1" w:styleId="19">
    <w:name w:val="Footer Char"/>
    <w:basedOn w:val="14"/>
    <w:semiHidden/>
    <w:qFormat/>
    <w:uiPriority w:val="99"/>
    <w:rPr>
      <w:rFonts w:ascii="Times New Roman" w:hAnsi="Times New Roman"/>
      <w:sz w:val="18"/>
      <w:szCs w:val="18"/>
    </w:rPr>
  </w:style>
  <w:style w:type="character" w:customStyle="1" w:styleId="20">
    <w:name w:val="页脚 Char"/>
    <w:link w:val="8"/>
    <w:qFormat/>
    <w:locked/>
    <w:uiPriority w:val="99"/>
    <w:rPr>
      <w:sz w:val="18"/>
    </w:rPr>
  </w:style>
  <w:style w:type="character" w:customStyle="1" w:styleId="21">
    <w:name w:val="Body Text Char"/>
    <w:basedOn w:val="14"/>
    <w:semiHidden/>
    <w:qFormat/>
    <w:uiPriority w:val="99"/>
    <w:rPr>
      <w:rFonts w:ascii="Times New Roman" w:hAnsi="Times New Roman"/>
      <w:szCs w:val="24"/>
    </w:rPr>
  </w:style>
  <w:style w:type="character" w:customStyle="1" w:styleId="22">
    <w:name w:val="正文文本 Char"/>
    <w:link w:val="2"/>
    <w:qFormat/>
    <w:locked/>
    <w:uiPriority w:val="99"/>
    <w:rPr>
      <w:rFonts w:ascii="仿宋_GB2312" w:hAnsi="Times New Roman" w:eastAsia="仿宋_GB2312"/>
      <w:sz w:val="24"/>
    </w:rPr>
  </w:style>
  <w:style w:type="paragraph" w:customStyle="1" w:styleId="2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4">
    <w:name w:val="List Paragraph"/>
    <w:basedOn w:val="1"/>
    <w:qFormat/>
    <w:uiPriority w:val="34"/>
    <w:pPr>
      <w:ind w:firstLine="420" w:firstLineChars="200"/>
    </w:pPr>
  </w:style>
  <w:style w:type="character" w:customStyle="1" w:styleId="25">
    <w:name w:val="标题 1 Char"/>
    <w:basedOn w:val="14"/>
    <w:link w:val="3"/>
    <w:qFormat/>
    <w:uiPriority w:val="9"/>
    <w:rPr>
      <w:rFonts w:ascii="Times New Roman" w:hAnsi="Times New Roman"/>
      <w:b/>
      <w:bCs/>
      <w:kern w:val="44"/>
      <w:sz w:val="44"/>
      <w:szCs w:val="44"/>
    </w:rPr>
  </w:style>
  <w:style w:type="character" w:customStyle="1" w:styleId="26">
    <w:name w:val="标题 2 Char"/>
    <w:basedOn w:val="14"/>
    <w:link w:val="4"/>
    <w:qFormat/>
    <w:uiPriority w:val="9"/>
    <w:rPr>
      <w:rFonts w:asciiTheme="majorHAnsi" w:hAnsiTheme="majorHAnsi" w:eastAsiaTheme="majorEastAsia" w:cstheme="majorBidi"/>
      <w:b/>
      <w:bCs/>
      <w:kern w:val="2"/>
      <w:sz w:val="32"/>
      <w:szCs w:val="32"/>
    </w:r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8">
    <w:name w:val="批注框文本 Char"/>
    <w:basedOn w:val="14"/>
    <w:link w:val="7"/>
    <w:semiHidden/>
    <w:qFormat/>
    <w:uiPriority w:val="99"/>
    <w:rPr>
      <w:rFonts w:ascii="Times New Roman" w:hAnsi="Times New Roman"/>
      <w:kern w:val="2"/>
      <w:sz w:val="18"/>
      <w:szCs w:val="18"/>
    </w:rPr>
  </w:style>
  <w:style w:type="character" w:customStyle="1" w:styleId="29">
    <w:name w:val="标题 3 Char"/>
    <w:basedOn w:val="14"/>
    <w:link w:val="5"/>
    <w:qFormat/>
    <w:uiPriority w:val="9"/>
    <w:rPr>
      <w:rFonts w:ascii="Times New Roman" w:hAnsi="Times New Roman"/>
      <w:b/>
      <w:bCs/>
      <w:kern w:val="2"/>
      <w:sz w:val="32"/>
      <w:szCs w:val="32"/>
    </w:rPr>
  </w:style>
  <w:style w:type="paragraph" w:customStyle="1" w:styleId="30">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1">
    <w:name w:val="zw"/>
    <w:basedOn w:val="1"/>
    <w:qFormat/>
    <w:uiPriority w:val="99"/>
    <w:pPr>
      <w:widowControl/>
      <w:spacing w:before="100" w:beforeAutospacing="1" w:after="100" w:afterAutospacing="1"/>
      <w:jc w:val="left"/>
    </w:pPr>
    <w:rPr>
      <w:rFonts w:ascii="宋体" w:hAnsi="宋体" w:cs="宋体"/>
      <w:kern w:val="0"/>
      <w:sz w:val="24"/>
    </w:rPr>
  </w:style>
  <w:style w:type="paragraph" w:customStyle="1" w:styleId="32">
    <w:name w:val="四号正文"/>
    <w:basedOn w:val="1"/>
    <w:qFormat/>
    <w:uiPriority w:val="0"/>
    <w:pPr>
      <w:spacing w:line="360" w:lineRule="auto"/>
    </w:pPr>
    <w:rPr>
      <w:rFonts w:ascii="??" w:hAnsi="??"/>
      <w:color w:val="000000"/>
      <w:kern w:val="0"/>
      <w:sz w:val="28"/>
      <w:szCs w:val="21"/>
      <w:lang w:val="zh-CN"/>
    </w:rPr>
  </w:style>
  <w:style w:type="paragraph" w:customStyle="1" w:styleId="33">
    <w:name w:val="〖C01〗正文"/>
    <w:qFormat/>
    <w:uiPriority w:val="0"/>
    <w:pPr>
      <w:widowControl w:val="0"/>
      <w:topLinePunct/>
      <w:spacing w:line="600" w:lineRule="exact"/>
      <w:ind w:firstLine="637" w:firstLineChars="200"/>
    </w:pPr>
    <w:rPr>
      <w:rFonts w:ascii="仿宋_GB2312" w:hAnsi="Calibri" w:eastAsia="仿宋_GB2312" w:cs="Times New Roman"/>
      <w:kern w:val="2"/>
      <w:sz w:val="32"/>
      <w:szCs w:val="32"/>
      <w:lang w:val="en-US" w:eastAsia="zh-CN" w:bidi="ar-SA"/>
    </w:rPr>
  </w:style>
  <w:style w:type="paragraph" w:customStyle="1" w:styleId="34">
    <w:name w:val="〖A08〗公文标题"/>
    <w:next w:val="1"/>
    <w:qFormat/>
    <w:uiPriority w:val="0"/>
    <w:pPr>
      <w:widowControl w:val="0"/>
      <w:topLinePunct/>
      <w:spacing w:line="700" w:lineRule="exact"/>
      <w:jc w:val="center"/>
    </w:pPr>
    <w:rPr>
      <w:rFonts w:ascii="方正小标宋简体" w:hAnsi="Calibri" w:eastAsia="方正小标宋简体" w:cs="Times New Roman"/>
      <w:kern w:val="2"/>
      <w:sz w:val="44"/>
      <w:szCs w:val="21"/>
      <w:lang w:val="en-US" w:eastAsia="zh-CN" w:bidi="ar-SA"/>
    </w:rPr>
  </w:style>
  <w:style w:type="paragraph" w:customStyle="1" w:styleId="35">
    <w:name w:val="〖B01〗一级标题"/>
    <w:next w:val="1"/>
    <w:qFormat/>
    <w:uiPriority w:val="0"/>
    <w:pPr>
      <w:topLinePunct/>
      <w:spacing w:line="600" w:lineRule="exact"/>
      <w:ind w:firstLine="635"/>
      <w:outlineLvl w:val="0"/>
    </w:pPr>
    <w:rPr>
      <w:rFonts w:ascii="黑体" w:hAnsi="Calibri" w:eastAsia="黑体" w:cs="Times New Roman"/>
      <w:kern w:val="2"/>
      <w:sz w:val="32"/>
      <w:szCs w:val="32"/>
      <w:lang w:val="en-US" w:eastAsia="zh-CN" w:bidi="ar-SA"/>
    </w:rPr>
  </w:style>
  <w:style w:type="paragraph" w:customStyle="1" w:styleId="36">
    <w:name w:val="〖B02〗二级标题"/>
    <w:next w:val="1"/>
    <w:qFormat/>
    <w:uiPriority w:val="0"/>
    <w:pPr>
      <w:widowControl w:val="0"/>
      <w:spacing w:line="600" w:lineRule="exact"/>
      <w:ind w:firstLine="635"/>
      <w:outlineLvl w:val="1"/>
    </w:pPr>
    <w:rPr>
      <w:rFonts w:ascii="楷体_GB2312" w:hAnsi="Calibri" w:eastAsia="楷体_GB2312" w:cs="Times New Roman"/>
      <w:kern w:val="2"/>
      <w:sz w:val="32"/>
      <w:szCs w:val="21"/>
      <w:lang w:val="zh-CN"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021&#24180;&#20915;&#31639;\&#38468;&#20214;4&#65306;2021&#24180;&#20915;&#31639;&#20844;&#24320;&#38468;&#22270;(&#27169;&#26495;)&#20165;&#20379;&#21442;&#327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021&#24180;&#20915;&#31639;\&#38468;&#20214;4&#65306;2021&#24180;&#20915;&#31639;&#20844;&#24320;&#38468;&#22270;(&#27169;&#26495;)&#20165;&#20379;&#21442;&#3277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2021&#24180;&#20915;&#31639;\&#38468;&#20214;4&#65306;2021&#24180;&#20915;&#31639;&#20844;&#24320;&#38468;&#22270;(&#27169;&#26495;)&#20165;&#20379;&#21442;&#327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021&#24180;&#20915;&#31639;\&#38468;&#20214;4&#65306;2021&#24180;&#20915;&#31639;&#20844;&#24320;&#38468;&#22270;(&#27169;&#26495;)&#20165;&#20379;&#21442;&#327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021&#24180;&#20915;&#31639;\&#38468;&#20214;4&#65306;2021&#24180;&#20915;&#31639;&#20844;&#24320;&#38468;&#22270;(&#27169;&#26495;)&#20165;&#20379;&#21442;&#327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2021&#24180;&#20915;&#31639;\&#38468;&#20214;4&#65306;2021&#24180;&#20915;&#31639;&#20844;&#24320;&#38468;&#22270;(&#27169;&#26495;)&#20165;&#20379;&#21442;&#3277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istrator\Desktop\&#22478;&#21271;&#23567;&#23398;2021&#24180;&#20915;&#31639;&#20844;&#24320;\&#38468;&#20214;4&#65306;2021&#24180;&#20915;&#31639;&#20844;&#24320;&#38468;&#22270;(&#27169;&#26495;)&#20165;&#20379;&#21442;&#327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1</a:t>
            </a:r>
            <a:r>
              <a:rPr lang="zh-CN"/>
              <a:t>：收、支决算总计变动情况图</a:t>
            </a:r>
            <a:endParaRPr lang="zh-CN"/>
          </a:p>
        </c:rich>
      </c:tx>
      <c:layout/>
      <c:overlay val="0"/>
    </c:title>
    <c:autoTitleDeleted val="0"/>
    <c:plotArea>
      <c:layout/>
      <c:barChart>
        <c:barDir val="col"/>
        <c:grouping val="clustered"/>
        <c:varyColors val="0"/>
        <c:ser>
          <c:idx val="0"/>
          <c:order val="0"/>
          <c:tx>
            <c:strRef>
              <c:f>'[附件4：2021年决算公开附图(模板)仅供参考.xlsx]收、支决算总体变动情况图1'!$C$13</c:f>
              <c:strCache>
                <c:ptCount val="1"/>
                <c:pt idx="0">
                  <c:v>金额</c:v>
                </c:pt>
              </c:strCache>
            </c:strRef>
          </c:tx>
          <c:invertIfNegative val="0"/>
          <c:dPt>
            <c:idx val="1"/>
            <c:invertIfNegative val="0"/>
            <c:bubble3D val="0"/>
            <c:spPr>
              <a:solidFill>
                <a:schemeClr val="accent2"/>
              </a:solidFill>
              <a:ln w="25400" cap="flat" cmpd="sng" algn="ctr">
                <a:solidFill>
                  <a:schemeClr val="accent2">
                    <a:shade val="50000"/>
                  </a:schemeClr>
                </a:solidFill>
                <a:prstDash val="solid"/>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'[附件4：2021年决算公开附图(模板)仅供参考.xlsx]收、支决算总体变动情况图1'!$B$14:$B$15</c:f>
              <c:strCache>
                <c:ptCount val="2"/>
                <c:pt idx="0">
                  <c:v>2021年</c:v>
                </c:pt>
                <c:pt idx="1">
                  <c:v>2020年</c:v>
                </c:pt>
              </c:strCache>
            </c:strRef>
          </c:cat>
          <c:val>
            <c:numRef>
              <c:f>'[附件4：2021年决算公开附图(模板)仅供参考.xlsx]收、支决算总体变动情况图1'!$C$14:$C$15</c:f>
              <c:numCache>
                <c:formatCode>#,##0.00</c:formatCode>
                <c:ptCount val="2"/>
                <c:pt idx="0">
                  <c:v>2306.44</c:v>
                </c:pt>
                <c:pt idx="1">
                  <c:v>2406.95</c:v>
                </c:pt>
              </c:numCache>
            </c:numRef>
          </c:val>
        </c:ser>
        <c:dLbls>
          <c:showLegendKey val="0"/>
          <c:showVal val="1"/>
          <c:showCatName val="0"/>
          <c:showSerName val="0"/>
          <c:showPercent val="0"/>
          <c:showBubbleSize val="0"/>
        </c:dLbls>
        <c:gapWidth val="150"/>
        <c:axId val="73265920"/>
        <c:axId val="73267456"/>
      </c:barChart>
      <c:catAx>
        <c:axId val="7326592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73267456"/>
        <c:crosses val="autoZero"/>
        <c:auto val="1"/>
        <c:lblAlgn val="ctr"/>
        <c:lblOffset val="100"/>
        <c:noMultiLvlLbl val="0"/>
      </c:catAx>
      <c:valAx>
        <c:axId val="73267456"/>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73265920"/>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2</a:t>
            </a:r>
            <a:r>
              <a:rPr lang="zh-CN"/>
              <a:t>：</a:t>
            </a:r>
            <a:r>
              <a:rPr lang="en-US"/>
              <a:t>2021</a:t>
            </a:r>
            <a:r>
              <a:rPr lang="zh-CN"/>
              <a:t>年收入决算结构图</a:t>
            </a:r>
            <a:endParaRPr lang="zh-CN"/>
          </a:p>
        </c:rich>
      </c:tx>
      <c:layout/>
      <c:overlay val="0"/>
    </c:title>
    <c:autoTitleDeleted val="0"/>
    <c:plotArea>
      <c:layout/>
      <c:pieChart>
        <c:varyColors val="1"/>
        <c:ser>
          <c:idx val="0"/>
          <c:order val="0"/>
          <c:tx>
            <c:strRef>
              <c:f>'[附件4：2021年决算公开附图(模板)仅供参考.xlsx]收入决算结构图2'!$B$6</c:f>
              <c:strCache>
                <c:ptCount val="1"/>
                <c:pt idx="0">
                  <c:v>占比</c:v>
                </c:pt>
              </c:strCache>
            </c:strRef>
          </c:tx>
          <c:explosion val="0"/>
          <c:dPt>
            <c:idx val="0"/>
            <c:bubble3D val="0"/>
          </c:dPt>
          <c:dPt>
            <c:idx val="1"/>
            <c:bubble3D val="0"/>
          </c:dPt>
          <c:dPt>
            <c:idx val="2"/>
            <c:bubble3D val="0"/>
          </c:dPt>
          <c:dPt>
            <c:idx val="3"/>
            <c:bubble3D val="0"/>
          </c:dPt>
          <c:dLbls>
            <c:dLbl>
              <c:idx val="1"/>
              <c:layout>
                <c:manualLayout>
                  <c:x val="-0.0167753458752465"/>
                  <c:y val="-0.041249366088549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750471494345391"/>
                  <c:y val="-0.016208591872454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'[附件4：2021年决算公开附图(模板)仅供参考.xlsx]收入决算结构图2'!$A$7:$A$10</c:f>
              <c:strCache>
                <c:ptCount val="4"/>
                <c:pt idx="0">
                  <c:v>一般公共预算财政拨款收入2231.27万元</c:v>
                </c:pt>
                <c:pt idx="1">
                  <c:v>政府性基金预算财政拨款0万元</c:v>
                </c:pt>
                <c:pt idx="2">
                  <c:v>事业收入0万元</c:v>
                </c:pt>
                <c:pt idx="3">
                  <c:v>其他收入0万元</c:v>
                </c:pt>
              </c:strCache>
            </c:strRef>
          </c:cat>
          <c:val>
            <c:numRef>
              <c:f>'[附件4：2021年决算公开附图(模板)仅供参考.xlsx]收入决算结构图2'!$B$7:$B$10</c:f>
              <c:numCache>
                <c:formatCode>0.00%</c:formatCode>
                <c:ptCount val="4"/>
                <c:pt idx="0">
                  <c:v>1</c:v>
                </c:pt>
                <c:pt idx="1">
                  <c:v>0</c:v>
                </c:pt>
                <c:pt idx="2">
                  <c:v>0</c:v>
                </c:pt>
                <c:pt idx="3">
                  <c:v>0</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3</a:t>
            </a:r>
            <a:r>
              <a:rPr lang="zh-CN"/>
              <a:t>：</a:t>
            </a:r>
            <a:r>
              <a:rPr lang="en-US"/>
              <a:t>2021</a:t>
            </a:r>
            <a:r>
              <a:rPr lang="zh-CN"/>
              <a:t>年支出决算结构图</a:t>
            </a:r>
            <a:endParaRPr lang="zh-CN"/>
          </a:p>
        </c:rich>
      </c:tx>
      <c:layout>
        <c:manualLayout>
          <c:xMode val="edge"/>
          <c:yMode val="edge"/>
          <c:x val="0.224852767962309"/>
          <c:y val="0.0234604105571848"/>
        </c:manualLayout>
      </c:layout>
      <c:overlay val="0"/>
    </c:title>
    <c:autoTitleDeleted val="0"/>
    <c:plotArea>
      <c:layout/>
      <c:pieChart>
        <c:varyColors val="1"/>
        <c:ser>
          <c:idx val="0"/>
          <c:order val="0"/>
          <c:tx>
            <c:strRef>
              <c:f>'[附件4：2021年决算公开附图(模板)仅供参考.xlsx]支出决算结构图3'!$B$9</c:f>
              <c:strCache>
                <c:ptCount val="1"/>
                <c:pt idx="0">
                  <c:v>占比</c:v>
                </c:pt>
              </c:strCache>
            </c:strRef>
          </c:tx>
          <c:explosion val="0"/>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'[附件4：2021年决算公开附图(模板)仅供参考.xlsx]支出决算结构图3'!$A$10:$A$11</c:f>
              <c:strCache>
                <c:ptCount val="2"/>
                <c:pt idx="0">
                  <c:v>基本支出2113.99万元</c:v>
                </c:pt>
                <c:pt idx="1">
                  <c:v>项目支出192.45万元</c:v>
                </c:pt>
              </c:strCache>
            </c:strRef>
          </c:cat>
          <c:val>
            <c:numRef>
              <c:f>'[附件4：2021年决算公开附图(模板)仅供参考.xlsx]支出决算结构图3'!$B$10:$B$11</c:f>
              <c:numCache>
                <c:formatCode>0.00%</c:formatCode>
                <c:ptCount val="2"/>
                <c:pt idx="0">
                  <c:v>0.9166</c:v>
                </c:pt>
                <c:pt idx="1">
                  <c:v>0.0834</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4</a:t>
            </a:r>
            <a:r>
              <a:rPr lang="zh-CN" altLang="en-US"/>
              <a:t>：财政拨款收、支决算总计变动情况图</a:t>
            </a:r>
            <a:endParaRPr lang="zh-CN" altLang="en-US"/>
          </a:p>
        </c:rich>
      </c:tx>
      <c:layout/>
      <c:overlay val="0"/>
    </c:title>
    <c:autoTitleDeleted val="0"/>
    <c:plotArea>
      <c:layout/>
      <c:barChart>
        <c:barDir val="col"/>
        <c:grouping val="clustered"/>
        <c:varyColors val="0"/>
        <c:ser>
          <c:idx val="0"/>
          <c:order val="0"/>
          <c:tx>
            <c:strRef>
              <c:f>'[附件4：2021年决算公开附图(模板)仅供参考.xlsx]财政拨款收、支决算总计变动情况图4'!$C$4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'[附件4：2021年决算公开附图(模板)仅供参考.xlsx]财政拨款收、支决算总计变动情况图4'!$B$5:$B$6</c:f>
              <c:strCache>
                <c:ptCount val="2"/>
                <c:pt idx="0">
                  <c:v>2021年</c:v>
                </c:pt>
                <c:pt idx="1">
                  <c:v>2020年</c:v>
                </c:pt>
              </c:strCache>
            </c:strRef>
          </c:cat>
          <c:val>
            <c:numRef>
              <c:f>'[附件4：2021年决算公开附图(模板)仅供参考.xlsx]财政拨款收、支决算总计变动情况图4'!$C$5:$C$6</c:f>
              <c:numCache>
                <c:formatCode>#,##0.00</c:formatCode>
                <c:ptCount val="2"/>
                <c:pt idx="0">
                  <c:v>2306.44</c:v>
                </c:pt>
                <c:pt idx="1">
                  <c:v>2406.95</c:v>
                </c:pt>
              </c:numCache>
            </c:numRef>
          </c:val>
        </c:ser>
        <c:dLbls>
          <c:showLegendKey val="0"/>
          <c:showVal val="1"/>
          <c:showCatName val="0"/>
          <c:showSerName val="0"/>
          <c:showPercent val="0"/>
          <c:showBubbleSize val="0"/>
        </c:dLbls>
        <c:gapWidth val="150"/>
        <c:axId val="91223168"/>
        <c:axId val="91224704"/>
      </c:barChart>
      <c:catAx>
        <c:axId val="91223168"/>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24704"/>
        <c:crosses val="autoZero"/>
        <c:auto val="1"/>
        <c:lblAlgn val="ctr"/>
        <c:lblOffset val="100"/>
        <c:noMultiLvlLbl val="0"/>
      </c:catAx>
      <c:valAx>
        <c:axId val="91224704"/>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23168"/>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5</a:t>
            </a:r>
            <a:r>
              <a:rPr lang="zh-CN" altLang="en-US"/>
              <a:t>：一般公共预算财政拨款支出决算       变动情况图</a:t>
            </a:r>
            <a:endParaRPr lang="zh-CN" altLang="en-US"/>
          </a:p>
        </c:rich>
      </c:tx>
      <c:layout/>
      <c:overlay val="0"/>
    </c:title>
    <c:autoTitleDeleted val="0"/>
    <c:plotArea>
      <c:layout>
        <c:manualLayout>
          <c:layoutTarget val="inner"/>
          <c:xMode val="edge"/>
          <c:yMode val="edge"/>
          <c:x val="0.113793103448276"/>
          <c:y val="0.234021632251721"/>
          <c:w val="0.74"/>
          <c:h val="0.64188790560472"/>
        </c:manualLayout>
      </c:layout>
      <c:barChart>
        <c:barDir val="col"/>
        <c:grouping val="clustered"/>
        <c:varyColors val="0"/>
        <c:ser>
          <c:idx val="0"/>
          <c:order val="0"/>
          <c:tx>
            <c:strRef>
              <c:f>'[附件4：2021年决算公开附图(模板)仅供参考.xlsx]一般公共预算财政拨款支出决算变动图5'!$C$4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'[附件4：2021年决算公开附图(模板)仅供参考.xlsx]一般公共预算财政拨款支出决算变动图5'!$B$5:$B$6</c:f>
              <c:strCache>
                <c:ptCount val="2"/>
                <c:pt idx="0">
                  <c:v>2021年</c:v>
                </c:pt>
                <c:pt idx="1">
                  <c:v>2020年</c:v>
                </c:pt>
              </c:strCache>
            </c:strRef>
          </c:cat>
          <c:val>
            <c:numRef>
              <c:f>'[附件4：2021年决算公开附图(模板)仅供参考.xlsx]一般公共预算财政拨款支出决算变动图5'!$C$5:$C$6</c:f>
              <c:numCache>
                <c:formatCode>#,##0.00</c:formatCode>
                <c:ptCount val="2"/>
                <c:pt idx="0">
                  <c:v>2306.44</c:v>
                </c:pt>
                <c:pt idx="1">
                  <c:v>2406.95</c:v>
                </c:pt>
              </c:numCache>
            </c:numRef>
          </c:val>
        </c:ser>
        <c:dLbls>
          <c:showLegendKey val="0"/>
          <c:showVal val="1"/>
          <c:showCatName val="0"/>
          <c:showSerName val="0"/>
          <c:showPercent val="0"/>
          <c:showBubbleSize val="0"/>
        </c:dLbls>
        <c:gapWidth val="150"/>
        <c:axId val="91241856"/>
        <c:axId val="91268224"/>
      </c:barChart>
      <c:catAx>
        <c:axId val="9124185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68224"/>
        <c:crosses val="autoZero"/>
        <c:auto val="1"/>
        <c:lblAlgn val="ctr"/>
        <c:lblOffset val="100"/>
        <c:noMultiLvlLbl val="0"/>
      </c:catAx>
      <c:valAx>
        <c:axId val="91268224"/>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41856"/>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6</a:t>
            </a:r>
            <a:r>
              <a:rPr lang="zh-CN" altLang="en-US"/>
              <a:t>：一般公共预算财政拨款支出决算结构图</a:t>
            </a:r>
            <a:endParaRPr lang="zh-CN" altLang="en-US"/>
          </a:p>
        </c:rich>
      </c:tx>
      <c:layout/>
      <c:overlay val="0"/>
    </c:title>
    <c:autoTitleDeleted val="0"/>
    <c:plotArea>
      <c:layout/>
      <c:pieChart>
        <c:varyColors val="1"/>
        <c:ser>
          <c:idx val="0"/>
          <c:order val="0"/>
          <c:tx>
            <c:strRef>
              <c:f>'[附件4：2021年决算公开附图(模板)仅供参考.xlsx]一般公共预算财政拨款支出决算结构图6'!$C$18</c:f>
              <c:strCache>
                <c:ptCount val="1"/>
                <c:pt idx="0">
                  <c:v>占比</c:v>
                </c:pt>
              </c:strCache>
            </c:strRef>
          </c:tx>
          <c:explosion val="0"/>
          <c:dPt>
            <c:idx val="0"/>
            <c:bubble3D val="0"/>
          </c:dPt>
          <c:dPt>
            <c:idx val="1"/>
            <c:bubble3D val="0"/>
          </c:dPt>
          <c:dPt>
            <c:idx val="2"/>
            <c:bubble3D val="0"/>
          </c:dPt>
          <c:dPt>
            <c:idx val="3"/>
            <c:bubble3D val="0"/>
          </c:dPt>
          <c:dPt>
            <c:idx val="4"/>
            <c:bubble3D val="0"/>
          </c:dPt>
          <c:dPt>
            <c:idx val="5"/>
            <c:bubble3D val="0"/>
          </c:dPt>
          <c:dPt>
            <c:idx val="6"/>
            <c:bubble3D val="0"/>
          </c:dPt>
          <c:dLbls>
            <c:dLbl>
              <c:idx val="5"/>
              <c:layout>
                <c:manualLayout>
                  <c:x val="0.0569634882148239"/>
                  <c:y val="-0.023182751880916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0305024618798017"/>
                  <c:y val="0.11904548564533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'[附件4：2021年决算公开附图(模板)仅供参考.xlsx]一般公共预算财政拨款支出决算结构图6'!$B$19:$B$25</c:f>
              <c:strCache>
                <c:ptCount val="7"/>
                <c:pt idx="0">
                  <c:v>其他支出</c:v>
                </c:pt>
                <c:pt idx="1">
                  <c:v>教育支出</c:v>
                </c:pt>
                <c:pt idx="2">
                  <c:v>文化旅游体育与传媒支出</c:v>
                </c:pt>
                <c:pt idx="3">
                  <c:v>社会保障和就业支出</c:v>
                </c:pt>
                <c:pt idx="4">
                  <c:v>卫生健康支出</c:v>
                </c:pt>
                <c:pt idx="5">
                  <c:v>农林水支出</c:v>
                </c:pt>
                <c:pt idx="6">
                  <c:v>住房保障支出</c:v>
                </c:pt>
              </c:strCache>
            </c:strRef>
          </c:cat>
          <c:val>
            <c:numRef>
              <c:f>'[附件4：2021年决算公开附图(模板)仅供参考.xlsx]一般公共预算财政拨款支出决算结构图6'!$C$19:$C$25</c:f>
              <c:numCache>
                <c:formatCode>0.00%</c:formatCode>
                <c:ptCount val="7"/>
                <c:pt idx="0">
                  <c:v>0</c:v>
                </c:pt>
                <c:pt idx="1">
                  <c:v>0.8093</c:v>
                </c:pt>
                <c:pt idx="2">
                  <c:v>2.61387603920544e-5</c:v>
                </c:pt>
                <c:pt idx="3">
                  <c:v>0.1086</c:v>
                </c:pt>
                <c:pt idx="4">
                  <c:v>0.024</c:v>
                </c:pt>
                <c:pt idx="5">
                  <c:v>0</c:v>
                </c:pt>
                <c:pt idx="6">
                  <c:v>0.058</c:v>
                </c:pt>
              </c:numCache>
            </c:numRef>
          </c:val>
        </c:ser>
        <c:dLbls>
          <c:showLegendKey val="0"/>
          <c:showVal val="0"/>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7</a:t>
            </a:r>
            <a:r>
              <a:rPr lang="zh-CN" altLang="en-US"/>
              <a:t>：</a:t>
            </a:r>
            <a:r>
              <a:rPr lang="en-US" altLang="zh-CN"/>
              <a:t>2021</a:t>
            </a:r>
            <a:r>
              <a:rPr lang="zh-CN" altLang="en-US"/>
              <a:t>年  </a:t>
            </a:r>
            <a:r>
              <a:rPr lang="en-US" altLang="zh-CN"/>
              <a:t>"</a:t>
            </a:r>
            <a:r>
              <a:rPr lang="zh-CN" altLang="en-US"/>
              <a:t>三公”经费财政拨款                  支出结构图</a:t>
            </a:r>
            <a:endParaRPr lang="zh-CN" altLang="en-US"/>
          </a:p>
        </c:rich>
      </c:tx>
      <c:layout/>
      <c:overlay val="0"/>
    </c:title>
    <c:autoTitleDeleted val="0"/>
    <c:plotArea>
      <c:layout/>
      <c:pieChart>
        <c:varyColors val="1"/>
        <c:ser>
          <c:idx val="0"/>
          <c:order val="0"/>
          <c:tx>
            <c:strRef>
              <c:f>'“三公”经费财政拨款支出结构图7 '!$B$9</c:f>
              <c:strCache>
                <c:ptCount val="1"/>
                <c:pt idx="0">
                  <c:v>占比</c:v>
                </c:pt>
              </c:strCache>
            </c:strRef>
          </c:tx>
          <c:explosion val="0"/>
          <c:dPt>
            <c:idx val="0"/>
            <c:bubble3D val="0"/>
          </c:dPt>
          <c:dPt>
            <c:idx val="1"/>
            <c:bubble3D val="0"/>
          </c:dPt>
          <c:dLbls>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r>
                      <a:rPr lang="en-US" altLang="en-US"/>
                      <a:t>0</a:t>
                    </a:r>
                    <a:r>
                      <a:rPr altLang="en-US"/>
                      <a:t>.00%</a:t>
                    </a:r>
                    <a:endParaRPr altLang="en-US"/>
                  </a:p>
                </c:rich>
              </c:tx>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'“三公”经费财政拨款支出结构图7 '!$A$10:$A$11</c:f>
              <c:strCache>
                <c:ptCount val="2"/>
                <c:pt idx="0">
                  <c:v>公务用车购置及运行维护费支出0万元</c:v>
                </c:pt>
                <c:pt idx="1">
                  <c:v>公务接待费支出0万元</c:v>
                </c:pt>
              </c:strCache>
            </c:strRef>
          </c:cat>
          <c:val>
            <c:numRef>
              <c:f>'“三公”经费财政拨款支出结构图7 '!$B$10:$B$11</c:f>
              <c:numCache>
                <c:formatCode>0.00%</c:formatCode>
                <c:ptCount val="2"/>
                <c:pt idx="0">
                  <c:v>0</c:v>
                </c:pt>
                <c:pt idx="1">
                  <c:v>1</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manualLayout>
          <c:xMode val="edge"/>
          <c:yMode val="edge"/>
          <c:x val="0.647058823529414"/>
          <c:y val="0.490675609993195"/>
          <c:w val="0.339869281045753"/>
          <c:h val="0.367619973429248"/>
        </c:manualLayout>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zero"/>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4BAD1-7717-4B79-A191-0CFBF00DD240}">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48</Pages>
  <Words>18615</Words>
  <Characters>22625</Characters>
  <Lines>107</Lines>
  <Paragraphs>30</Paragraphs>
  <TotalTime>7</TotalTime>
  <ScaleCrop>false</ScaleCrop>
  <LinksUpToDate>false</LinksUpToDate>
  <CharactersWithSpaces>22891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2022-10-15T08:46:00Z</dcterms:created>
  <dc:creator>曹颖</dc:creator>
  <cp:lastModifiedBy>武哥</cp:lastModifiedBy>
  <cp:lastPrinted>2022-10-15T12:47:00Z</cp:lastPrinted>
  <dcterms:modified xsi:type="dcterms:W3CDTF">2022-12-06T02:38:09Z</dcterms:modified>
  <dc:title>四川省***</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06085E07606242B1A71CB143CFF2B692</vt:lpwstr>
  </property>
</Properties>
</file>